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B766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525494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B01D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FB7662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FB766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06.12.2024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FB766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654-П/АДМ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B7662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FB7662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8B01DD">
            <w:pPr>
              <w:jc w:val="both"/>
            </w:pPr>
            <w:r>
              <w:t xml:space="preserve">Об итогах проведения публичных слушаний по проекту решения </w:t>
            </w:r>
            <w:r w:rsidR="008B01DD">
              <w:br/>
            </w:r>
            <w:r>
              <w:t xml:space="preserve">«О бюджете Златоустовского городского округа на 2025 год </w:t>
            </w:r>
            <w:r w:rsidR="008B01DD">
              <w:br/>
              <w:t xml:space="preserve">и </w:t>
            </w:r>
            <w:r>
              <w:t>плановый период 2026 и 2027 годов»</w:t>
            </w:r>
            <w:r w:rsidR="008B01DD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Pr="00E4076D" w:rsidRDefault="008B01DD" w:rsidP="009416DA">
      <w:pPr>
        <w:widowControl w:val="0"/>
        <w:ind w:firstLine="709"/>
        <w:jc w:val="both"/>
      </w:pPr>
      <w:r w:rsidRPr="008B01DD">
        <w:t>На основании решения Собрания депутатов Златоустовского городского округа от 28.10.2005 г. № 55-ЗГО «О Положении об организации и проведении публичных слушаний в Златоустовском городском округе», постановления администрации Златоустовского городского округ</w:t>
      </w:r>
      <w:r w:rsidR="00D72B62">
        <w:t>а от 05.11.2024 </w:t>
      </w:r>
      <w:r w:rsidRPr="008B01DD">
        <w:t xml:space="preserve">г. </w:t>
      </w:r>
      <w:r w:rsidR="00D72B62">
        <w:br/>
        <w:t>№ </w:t>
      </w:r>
      <w:r w:rsidRPr="008B01DD">
        <w:t>502-П/</w:t>
      </w:r>
      <w:proofErr w:type="gramStart"/>
      <w:r w:rsidRPr="008B01DD">
        <w:t>АДМ</w:t>
      </w:r>
      <w:proofErr w:type="gramEnd"/>
      <w:r w:rsidRPr="008B01DD">
        <w:t xml:space="preserve"> «О публичных слушаниях по проекту решения Собрания депутатов Златоустовского городского округа «О бюджете Златоустовского городского округа на 2025 год и плановый период 2026 и 2027 годов»,</w:t>
      </w:r>
    </w:p>
    <w:p w:rsidR="008B01DD" w:rsidRDefault="00F12903" w:rsidP="008B01DD">
      <w:pPr>
        <w:widowControl w:val="0"/>
        <w:ind w:firstLine="708"/>
        <w:jc w:val="both"/>
      </w:pPr>
      <w:r>
        <w:t>ПОСТАНОВЛЯЮ:</w:t>
      </w:r>
    </w:p>
    <w:p w:rsidR="008B01DD" w:rsidRDefault="00D72B62" w:rsidP="008B01DD">
      <w:pPr>
        <w:widowControl w:val="0"/>
        <w:ind w:firstLine="708"/>
        <w:jc w:val="both"/>
      </w:pPr>
      <w:r>
        <w:t>1. </w:t>
      </w:r>
      <w:r w:rsidR="008B01DD">
        <w:t xml:space="preserve">Рабочей группе по подготовке и проведению публичных слушаний </w:t>
      </w:r>
      <w:r>
        <w:br/>
      </w:r>
      <w:r w:rsidR="008B01DD">
        <w:t>по проекту решения Собрания депутатов Златоустовского городского округа «О бюджете Златоустовского городского округа на 2025 год и плановый пе</w:t>
      </w:r>
      <w:r>
        <w:t>риод 2026 и 2027 годов» (далее -</w:t>
      </w:r>
      <w:r w:rsidR="008B01DD">
        <w:t xml:space="preserve"> публичные слушания):</w:t>
      </w:r>
    </w:p>
    <w:p w:rsidR="008B01DD" w:rsidRDefault="00D72B62" w:rsidP="008B01DD">
      <w:pPr>
        <w:widowControl w:val="0"/>
        <w:ind w:firstLine="708"/>
        <w:jc w:val="both"/>
      </w:pPr>
      <w:r>
        <w:t>1) </w:t>
      </w:r>
      <w:r w:rsidR="008B01DD">
        <w:t>провести анализ проведения публичных слушаний;</w:t>
      </w:r>
    </w:p>
    <w:p w:rsidR="008B01DD" w:rsidRDefault="00D72B62" w:rsidP="008B01DD">
      <w:pPr>
        <w:widowControl w:val="0"/>
        <w:ind w:firstLine="708"/>
        <w:jc w:val="both"/>
      </w:pPr>
      <w:r>
        <w:t>2) </w:t>
      </w:r>
      <w:r w:rsidR="008B01DD">
        <w:t>оценить процент заинтересованности и участия граждан Златоустовского городского округа в публичных слушаниях.</w:t>
      </w:r>
    </w:p>
    <w:p w:rsidR="008B01DD" w:rsidRDefault="00D72B62" w:rsidP="008B01DD">
      <w:pPr>
        <w:widowControl w:val="0"/>
        <w:ind w:firstLine="708"/>
        <w:jc w:val="both"/>
      </w:pPr>
      <w:r>
        <w:t>2. </w:t>
      </w:r>
      <w:proofErr w:type="gramStart"/>
      <w:r w:rsidR="008B01DD">
        <w:t>Пресс-службе администрации Златоустовского городского округа (</w:t>
      </w:r>
      <w:proofErr w:type="spellStart"/>
      <w:r w:rsidR="008B01DD">
        <w:t>Валова</w:t>
      </w:r>
      <w:proofErr w:type="spellEnd"/>
      <w:r w:rsidR="008B01DD">
        <w:t xml:space="preserve"> И.А.) опубликовать рекомендации, принятые участниками публичных слушаний 05 декабря 2024 года по проекту решения Собрания депутатов Златоустовского городского округа «О бюджете Златоустовского городского округа на 2025 год и плановый период 2026 и 2027 годов» (приложение) </w:t>
      </w:r>
      <w:r>
        <w:br/>
      </w:r>
      <w:r w:rsidR="008B01DD">
        <w:t>в газете «Златоустовский рабочий» и разместить на официальном сайте Златоустовского городского округа в сети «Интернет».</w:t>
      </w:r>
      <w:proofErr w:type="gramEnd"/>
    </w:p>
    <w:p w:rsidR="009416DA" w:rsidRDefault="00D72B62" w:rsidP="008B01DD">
      <w:pPr>
        <w:widowControl w:val="0"/>
        <w:ind w:firstLine="708"/>
        <w:jc w:val="both"/>
      </w:pPr>
      <w:r>
        <w:t>3. </w:t>
      </w:r>
      <w:proofErr w:type="gramStart"/>
      <w:r w:rsidR="008B01DD">
        <w:t>Контроль за</w:t>
      </w:r>
      <w:proofErr w:type="gramEnd"/>
      <w:r w:rsidR="008B01DD">
        <w:t xml:space="preserve"> выполнением настоящего постановления оставляю </w:t>
      </w:r>
      <w:r>
        <w:br/>
      </w:r>
      <w:r w:rsidR="008B01DD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B01D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B01D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6255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DCF182D" wp14:editId="7CDF51C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86255B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8B01DD" w:rsidRPr="008B01DD" w:rsidRDefault="008B01DD" w:rsidP="008B01DD">
      <w:pPr>
        <w:ind w:left="5103"/>
        <w:jc w:val="center"/>
      </w:pPr>
      <w:r w:rsidRPr="008B01DD">
        <w:t>ПРИЛОЖЕНИЕ</w:t>
      </w:r>
    </w:p>
    <w:p w:rsidR="008B01DD" w:rsidRPr="008B01DD" w:rsidRDefault="008B01DD" w:rsidP="008B01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01DD">
        <w:rPr>
          <w:lang w:eastAsia="ar-SA"/>
        </w:rPr>
        <w:t>Утверждено</w:t>
      </w:r>
    </w:p>
    <w:p w:rsidR="008B01DD" w:rsidRPr="008B01DD" w:rsidRDefault="008B01DD" w:rsidP="008B01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01DD">
        <w:rPr>
          <w:lang w:eastAsia="ar-SA"/>
        </w:rPr>
        <w:t>постановлением администрации</w:t>
      </w:r>
    </w:p>
    <w:p w:rsidR="008B01DD" w:rsidRPr="008B01DD" w:rsidRDefault="008B01DD" w:rsidP="008B01DD">
      <w:pPr>
        <w:ind w:left="5103"/>
        <w:jc w:val="center"/>
      </w:pPr>
      <w:r w:rsidRPr="008B01DD">
        <w:t>Златоустовского городского округа</w:t>
      </w:r>
    </w:p>
    <w:p w:rsidR="008B01DD" w:rsidRPr="008B01DD" w:rsidRDefault="008B01DD" w:rsidP="008B01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01DD">
        <w:rPr>
          <w:lang w:eastAsia="ar-SA"/>
        </w:rPr>
        <w:t xml:space="preserve">от </w:t>
      </w:r>
      <w:r w:rsidR="00FB7662">
        <w:rPr>
          <w:lang w:eastAsia="ar-SA"/>
        </w:rPr>
        <w:t>06.12.2024 г.</w:t>
      </w:r>
      <w:r w:rsidRPr="008B01DD">
        <w:rPr>
          <w:lang w:eastAsia="ar-SA"/>
        </w:rPr>
        <w:t xml:space="preserve"> № </w:t>
      </w:r>
      <w:r w:rsidR="00FB7662">
        <w:rPr>
          <w:lang w:eastAsia="ar-SA"/>
        </w:rPr>
        <w:t>654-П/АДМ</w:t>
      </w:r>
      <w:bookmarkStart w:id="0" w:name="_GoBack"/>
      <w:bookmarkEnd w:id="0"/>
    </w:p>
    <w:p w:rsidR="008B01DD" w:rsidRPr="008B01DD" w:rsidRDefault="008B01DD" w:rsidP="008B01DD">
      <w:pPr>
        <w:tabs>
          <w:tab w:val="left" w:pos="5529"/>
        </w:tabs>
        <w:suppressAutoHyphens/>
        <w:ind w:left="5103"/>
        <w:jc w:val="center"/>
      </w:pPr>
    </w:p>
    <w:p w:rsidR="008B01DD" w:rsidRDefault="008B01DD" w:rsidP="004574CC"/>
    <w:p w:rsidR="008B01DD" w:rsidRDefault="000E5F2B" w:rsidP="008B01DD">
      <w:pPr>
        <w:jc w:val="center"/>
      </w:pPr>
      <w:r>
        <w:t>Рекомендации</w:t>
      </w:r>
    </w:p>
    <w:p w:rsidR="008B01DD" w:rsidRDefault="008B01DD" w:rsidP="008B01DD">
      <w:pPr>
        <w:jc w:val="center"/>
      </w:pPr>
      <w:r>
        <w:t>публичных слушаний по проекту решения</w:t>
      </w:r>
    </w:p>
    <w:p w:rsidR="008B01DD" w:rsidRDefault="008B01DD" w:rsidP="008B01DD">
      <w:pPr>
        <w:jc w:val="center"/>
      </w:pPr>
      <w:r>
        <w:t xml:space="preserve">«О бюджете Златоустовского городского округа на 2025 год </w:t>
      </w:r>
    </w:p>
    <w:p w:rsidR="008B01DD" w:rsidRDefault="008B01DD" w:rsidP="008B01DD">
      <w:pPr>
        <w:jc w:val="center"/>
      </w:pPr>
      <w:r>
        <w:t>и плановый период 2026 и 2027 годов»</w:t>
      </w:r>
    </w:p>
    <w:p w:rsidR="008B01DD" w:rsidRDefault="008B01DD" w:rsidP="008B01DD">
      <w:pPr>
        <w:jc w:val="center"/>
      </w:pPr>
    </w:p>
    <w:p w:rsidR="008F791E" w:rsidRDefault="008B01DD" w:rsidP="008F791E">
      <w:pPr>
        <w:ind w:firstLine="709"/>
        <w:jc w:val="both"/>
      </w:pPr>
      <w:r>
        <w:t xml:space="preserve">Участники публичных слушаний, рассмотрев проект решения </w:t>
      </w:r>
      <w:r w:rsidR="008F791E">
        <w:br/>
      </w:r>
      <w:r>
        <w:t>«О бюджете Златоустовского городского округа на 2025 год и плановый период 2026 и 2027 годов», отмечают следующее.</w:t>
      </w:r>
    </w:p>
    <w:p w:rsidR="008B01DD" w:rsidRDefault="008B01DD" w:rsidP="008F791E">
      <w:pPr>
        <w:ind w:firstLine="709"/>
        <w:jc w:val="both"/>
      </w:pPr>
      <w:r>
        <w:t xml:space="preserve">В основу проекта бюджета на 2025 год и на плановый период 2026 </w:t>
      </w:r>
      <w:r w:rsidR="008F791E">
        <w:br/>
      </w:r>
      <w:r>
        <w:t>и 2027 годов приняты условия «базового» варианта прогноза социально-экономического развития Златоустовского городского округа с учетом изменений, внесенных в бюджетное и налоговое законодательство Российской Федерации, Челябинской области и Златоустовского городского округа.</w:t>
      </w:r>
    </w:p>
    <w:p w:rsidR="008F791E" w:rsidRDefault="008B01DD" w:rsidP="008F791E">
      <w:pPr>
        <w:ind w:firstLine="709"/>
        <w:jc w:val="both"/>
      </w:pPr>
      <w:r>
        <w:t>Базовый вариант прогноза социально-экономического развития Златоустовского городского округа на 2025-2027 годы предусматривает рост:</w:t>
      </w:r>
    </w:p>
    <w:p w:rsidR="008F791E" w:rsidRDefault="008B01DD" w:rsidP="008F791E">
      <w:pPr>
        <w:ind w:firstLine="709"/>
        <w:jc w:val="both"/>
      </w:pPr>
      <w:r>
        <w:t xml:space="preserve">- фонда оплаты труда в 2025 году на 11,9 процентов, в 2026 году </w:t>
      </w:r>
      <w:r w:rsidR="008F791E">
        <w:br/>
      </w:r>
      <w:r>
        <w:t xml:space="preserve">на 9,1 процентов, в 2027 году </w:t>
      </w:r>
      <w:proofErr w:type="gramStart"/>
      <w:r>
        <w:t>на</w:t>
      </w:r>
      <w:proofErr w:type="gramEnd"/>
      <w:r>
        <w:t xml:space="preserve"> 8,7 процентов;</w:t>
      </w:r>
    </w:p>
    <w:p w:rsidR="008F791E" w:rsidRDefault="008B01DD" w:rsidP="008F791E">
      <w:pPr>
        <w:ind w:firstLine="709"/>
        <w:jc w:val="both"/>
      </w:pPr>
      <w:r>
        <w:t>- валового р</w:t>
      </w:r>
      <w:r w:rsidR="008F791E">
        <w:t>егионального продукта -</w:t>
      </w:r>
      <w:r>
        <w:t xml:space="preserve"> в 2025 году на 4,3 процентов, </w:t>
      </w:r>
      <w:r w:rsidR="008F791E">
        <w:br/>
      </w:r>
      <w:r>
        <w:t xml:space="preserve">в 2026 году на 4,7 процентов, в 2027 году </w:t>
      </w:r>
      <w:proofErr w:type="gramStart"/>
      <w:r>
        <w:t>на</w:t>
      </w:r>
      <w:proofErr w:type="gramEnd"/>
      <w:r>
        <w:t xml:space="preserve"> 4,9 процентов;</w:t>
      </w:r>
    </w:p>
    <w:p w:rsidR="008F791E" w:rsidRDefault="008F791E" w:rsidP="008F791E">
      <w:pPr>
        <w:ind w:firstLine="709"/>
        <w:jc w:val="both"/>
      </w:pPr>
      <w:r>
        <w:t>- индекса потребительских цен -</w:t>
      </w:r>
      <w:r w:rsidR="008B01DD">
        <w:t xml:space="preserve"> в 2025 году на 4,5 и в плановом периоде 2026-2027 годах на 4,0 процентов.</w:t>
      </w:r>
    </w:p>
    <w:p w:rsidR="008F791E" w:rsidRDefault="008B01DD" w:rsidP="008F791E">
      <w:pPr>
        <w:ind w:firstLine="709"/>
        <w:jc w:val="both"/>
      </w:pPr>
      <w:proofErr w:type="gramStart"/>
      <w:r>
        <w:t xml:space="preserve">Общий объем доходов бюджета городского округа запланирован </w:t>
      </w:r>
      <w:r w:rsidR="008F791E">
        <w:br/>
        <w:t>на 2025 год в сумме 7 529,8 млн. </w:t>
      </w:r>
      <w:r>
        <w:t xml:space="preserve">рублей с увеличением на 2,3 процентов </w:t>
      </w:r>
      <w:r w:rsidR="008F791E">
        <w:br/>
      </w:r>
      <w:r>
        <w:t xml:space="preserve">к первоначальным показателям бюджета 2024 года, на 2026 год в сумме </w:t>
      </w:r>
      <w:r w:rsidR="008F791E">
        <w:br/>
        <w:t>8 152,2 млн. </w:t>
      </w:r>
      <w:r>
        <w:t xml:space="preserve">рублей с увеличением к уровню 2025 года на 8,3 процентов, </w:t>
      </w:r>
      <w:r w:rsidR="008F791E">
        <w:br/>
        <w:t>на 2027 год в сумме 7 </w:t>
      </w:r>
      <w:r>
        <w:t>9</w:t>
      </w:r>
      <w:r w:rsidR="008F791E">
        <w:t>55,6 млн. </w:t>
      </w:r>
      <w:r>
        <w:t xml:space="preserve">рублей со снижением на 2,4 процентов </w:t>
      </w:r>
      <w:r w:rsidR="008F791E">
        <w:br/>
      </w:r>
      <w:r>
        <w:t>к</w:t>
      </w:r>
      <w:proofErr w:type="gramEnd"/>
      <w:r>
        <w:t xml:space="preserve"> плановым показателям 2026 года.</w:t>
      </w:r>
    </w:p>
    <w:p w:rsidR="008F791E" w:rsidRDefault="008B01DD" w:rsidP="008F791E">
      <w:pPr>
        <w:ind w:firstLine="709"/>
        <w:jc w:val="both"/>
      </w:pPr>
      <w:r>
        <w:t>Доля налоговых и неналоговых доходов в общем объеме доходов бюджета</w:t>
      </w:r>
      <w:r w:rsidR="008F791E">
        <w:t xml:space="preserve"> округа составляет в 2025 году - 37,7 процентов, в 2026 году - </w:t>
      </w:r>
      <w:r w:rsidR="008F791E">
        <w:br/>
        <w:t>38,3 процентов, в 2027 году -</w:t>
      </w:r>
      <w:r>
        <w:t xml:space="preserve"> 42,7 процентов.</w:t>
      </w:r>
    </w:p>
    <w:p w:rsidR="008F791E" w:rsidRDefault="008B01DD" w:rsidP="008F791E">
      <w:pPr>
        <w:ind w:firstLine="709"/>
        <w:jc w:val="both"/>
      </w:pPr>
      <w:proofErr w:type="gramStart"/>
      <w:r>
        <w:t>Налоговые и неналоговые доходы спрогнозированы</w:t>
      </w:r>
      <w:r w:rsidR="008F791E">
        <w:t xml:space="preserve"> в следующих объемах: 2025 год -</w:t>
      </w:r>
      <w:r>
        <w:t xml:space="preserve"> 2 836,2 млн. рублей с превышением на 25,3 процентов </w:t>
      </w:r>
      <w:r w:rsidR="008F791E">
        <w:br/>
      </w:r>
      <w:r>
        <w:t>от первоначальных плановых п</w:t>
      </w:r>
      <w:r w:rsidR="008F791E">
        <w:t>оказателей 2024 года, 2026 год -</w:t>
      </w:r>
      <w:r>
        <w:t xml:space="preserve"> </w:t>
      </w:r>
      <w:r w:rsidR="008F791E">
        <w:br/>
        <w:t>3 124,8 млн. </w:t>
      </w:r>
      <w:r>
        <w:t>рублей на 10,2 процентов выше уровня 2025 года, а 2</w:t>
      </w:r>
      <w:r w:rsidR="008F791E">
        <w:t>027 год -</w:t>
      </w:r>
      <w:r>
        <w:t xml:space="preserve"> </w:t>
      </w:r>
      <w:r w:rsidR="008F791E">
        <w:br/>
        <w:t>3 398,4 млн. </w:t>
      </w:r>
      <w:r>
        <w:t>рублей соответственно на 8,8 процентов выше 2026 года.</w:t>
      </w:r>
      <w:proofErr w:type="gramEnd"/>
    </w:p>
    <w:p w:rsidR="008F791E" w:rsidRDefault="008B01DD" w:rsidP="008F791E">
      <w:pPr>
        <w:ind w:firstLine="709"/>
        <w:jc w:val="both"/>
      </w:pPr>
      <w:r>
        <w:t xml:space="preserve">Основными доходными источниками бюджета городского округа </w:t>
      </w:r>
      <w:r w:rsidR="008F791E">
        <w:br/>
      </w:r>
      <w:r>
        <w:t>в общем объеме налоговых и неналоговых доходов являются:</w:t>
      </w:r>
    </w:p>
    <w:p w:rsidR="008F791E" w:rsidRDefault="008B01DD" w:rsidP="008F791E">
      <w:pPr>
        <w:ind w:firstLine="709"/>
        <w:jc w:val="both"/>
      </w:pPr>
      <w:r>
        <w:t>налог на дох</w:t>
      </w:r>
      <w:r w:rsidR="008F791E">
        <w:t>оды физических лиц в 2025 году -</w:t>
      </w:r>
      <w:r>
        <w:t xml:space="preserve"> 70,7 процентов, </w:t>
      </w:r>
      <w:r w:rsidR="008F791E">
        <w:br/>
      </w:r>
      <w:r>
        <w:t>в 2026 году - 71,8 процентов и в 2027 году - 72,5 процентов;</w:t>
      </w:r>
    </w:p>
    <w:p w:rsidR="008F791E" w:rsidRDefault="008B01DD" w:rsidP="008F791E">
      <w:pPr>
        <w:ind w:firstLine="709"/>
        <w:jc w:val="both"/>
      </w:pPr>
      <w:r>
        <w:lastRenderedPageBreak/>
        <w:t>налоги на совокупный доход в 2025 году -</w:t>
      </w:r>
      <w:r w:rsidR="008F791E">
        <w:t xml:space="preserve"> </w:t>
      </w:r>
      <w:r>
        <w:t>17,4 процентов, в 2026 году - 17,1 процентов и в 2027 году - 17,2 процентов;</w:t>
      </w:r>
    </w:p>
    <w:p w:rsidR="008F791E" w:rsidRDefault="008B01DD" w:rsidP="008F791E">
      <w:pPr>
        <w:ind w:firstLine="709"/>
        <w:jc w:val="both"/>
      </w:pPr>
      <w:r>
        <w:t>н</w:t>
      </w:r>
      <w:r w:rsidR="008F791E">
        <w:t>алоги на имущество в 2025 году -</w:t>
      </w:r>
      <w:r>
        <w:t xml:space="preserve"> 5,0 процентов, в 2026 году - </w:t>
      </w:r>
      <w:r w:rsidR="008F791E">
        <w:br/>
      </w:r>
      <w:r>
        <w:t>4,6 процентов и в 2027 году - 4,3 процентов;</w:t>
      </w:r>
    </w:p>
    <w:p w:rsidR="008F791E" w:rsidRDefault="008B01DD" w:rsidP="008F791E">
      <w:pPr>
        <w:ind w:firstLine="709"/>
        <w:jc w:val="both"/>
      </w:pPr>
      <w:r>
        <w:t xml:space="preserve">доходы от использования и продажи имущества, находящегося </w:t>
      </w:r>
      <w:r w:rsidR="008F791E">
        <w:br/>
      </w:r>
      <w:r>
        <w:t>в государственной и муниципаль</w:t>
      </w:r>
      <w:r w:rsidR="008F791E">
        <w:t>ной собственности, в 2025 году -</w:t>
      </w:r>
      <w:r>
        <w:t xml:space="preserve"> </w:t>
      </w:r>
      <w:r w:rsidR="008F791E">
        <w:br/>
      </w:r>
      <w:r>
        <w:t>3,7 процентов, в 2026 году - 3,4 процентов и в 2027 году - 3,1 процентов.</w:t>
      </w:r>
    </w:p>
    <w:p w:rsidR="008F791E" w:rsidRDefault="008B01DD" w:rsidP="008F791E">
      <w:pPr>
        <w:ind w:firstLine="709"/>
        <w:jc w:val="both"/>
      </w:pPr>
      <w:r>
        <w:t xml:space="preserve">Объём безвозмездных поступлений из вышестоящих бюджетов предусматривается на 2025 год со снижением к первоначальному уровню </w:t>
      </w:r>
      <w:r w:rsidR="008F791E">
        <w:br/>
      </w:r>
      <w:r>
        <w:t xml:space="preserve">2024 года на 7,9 процентов и составляет 4 </w:t>
      </w:r>
      <w:r w:rsidR="008F791E">
        <w:t>693,6 млн. рублей, на 2026 год -</w:t>
      </w:r>
      <w:r>
        <w:t xml:space="preserve"> </w:t>
      </w:r>
      <w:r w:rsidR="008F791E">
        <w:br/>
      </w:r>
      <w:r>
        <w:t>5 02</w:t>
      </w:r>
      <w:r w:rsidR="008F791E">
        <w:t>7,4 млн. рублей, а на 2027 год -</w:t>
      </w:r>
      <w:r>
        <w:t xml:space="preserve"> 4 557,2 млн. рублей. </w:t>
      </w:r>
    </w:p>
    <w:p w:rsidR="008F791E" w:rsidRDefault="008B01DD" w:rsidP="008F791E">
      <w:pPr>
        <w:ind w:firstLine="709"/>
        <w:jc w:val="both"/>
      </w:pPr>
      <w:proofErr w:type="gramStart"/>
      <w:r>
        <w:t xml:space="preserve">Общий объем расходов бюджета определен в 2025 году в сумме </w:t>
      </w:r>
      <w:r w:rsidR="008F791E">
        <w:br/>
        <w:t>7 529,8 млн. </w:t>
      </w:r>
      <w:r>
        <w:t xml:space="preserve">рублей с увеличением на 2,3 процентов к первоначальным показателям </w:t>
      </w:r>
      <w:r w:rsidR="008F791E">
        <w:t>бюджета 2024 года, в 2026 году – 8 152,2 млн. </w:t>
      </w:r>
      <w:r>
        <w:t xml:space="preserve">рублей </w:t>
      </w:r>
      <w:r w:rsidR="008F791E">
        <w:br/>
      </w:r>
      <w:r>
        <w:t>с увеличением на 8,3 процентов к</w:t>
      </w:r>
      <w:r w:rsidR="008F791E">
        <w:t xml:space="preserve"> уровню 2025 года, в 2027 году -</w:t>
      </w:r>
      <w:r>
        <w:t xml:space="preserve"> </w:t>
      </w:r>
      <w:r w:rsidR="008F791E">
        <w:br/>
      </w:r>
      <w:r>
        <w:t>7 955,6 млн. рублей со снижением на 2,4 процентов к показателям бюджета 2026 года.</w:t>
      </w:r>
      <w:proofErr w:type="gramEnd"/>
    </w:p>
    <w:p w:rsidR="008F791E" w:rsidRDefault="008B01DD" w:rsidP="008F791E">
      <w:pPr>
        <w:ind w:firstLine="709"/>
        <w:jc w:val="both"/>
      </w:pPr>
      <w:proofErr w:type="gramStart"/>
      <w:r>
        <w:t>Основными приоритетными направлениями расходов бюджета городского округа на 2025-2027 годы остаются меры социальной поддержки граждан, проживающих в городском округе, реализация положений указов Президента Российской Федерации начиная от 2012 года в части оплаты труда отдельных категорий работников бюджетной сферы, обеспечение минимального размера оплаты труда, а также развитие современного дополнительного образования и поддержка талантливых детей и молодежи, обеспечение строительства жилья для реализации</w:t>
      </w:r>
      <w:proofErr w:type="gramEnd"/>
      <w:r>
        <w:t xml:space="preserve"> </w:t>
      </w:r>
      <w:proofErr w:type="gramStart"/>
      <w:r>
        <w:t xml:space="preserve">мероприятий по расселению граждан из ветхо–аварийного жилья, модернизации объектов коммунальной инфраструктуры, повышение доступности и качества питьевой воды, </w:t>
      </w:r>
      <w:r w:rsidR="008F791E">
        <w:br/>
      </w:r>
      <w:r>
        <w:t xml:space="preserve">в том числе реконструкция очистных сооружений, повышение доступности инфраструктуры газового хозяйства, приведение в нормативное состояние автомобильных дорог, их ремонт и содержание, повышение антитеррористической безопасности на объектах социальной сферы </w:t>
      </w:r>
      <w:r w:rsidR="008F791E">
        <w:br/>
      </w:r>
      <w:r>
        <w:t xml:space="preserve">и дальнейшее развитие инфраструктуры образовательных учреждений, спортивных объектов. </w:t>
      </w:r>
      <w:proofErr w:type="gramEnd"/>
    </w:p>
    <w:p w:rsidR="008F791E" w:rsidRDefault="008B01DD" w:rsidP="008F791E">
      <w:pPr>
        <w:ind w:firstLine="709"/>
        <w:jc w:val="both"/>
      </w:pPr>
      <w:proofErr w:type="gramStart"/>
      <w:r>
        <w:t xml:space="preserve">Расходы бюджета, осуществляемые в рамках национальных (региональных) проектов, обеспечены на предстоящий трехлетний период </w:t>
      </w:r>
      <w:r w:rsidR="008F791E">
        <w:br/>
      </w:r>
      <w:r>
        <w:t>в объеме 48,1 млн. р</w:t>
      </w:r>
      <w:r w:rsidR="008F791E">
        <w:t>ублей, в том числе в 2025 году -</w:t>
      </w:r>
      <w:r>
        <w:t xml:space="preserve"> 29,3 млн. рублей; </w:t>
      </w:r>
      <w:r w:rsidR="008F791E">
        <w:br/>
        <w:t>в 2026 году -</w:t>
      </w:r>
      <w:r>
        <w:t xml:space="preserve"> 9,3 </w:t>
      </w:r>
      <w:r w:rsidR="008F791E">
        <w:t>млн. рублей; в 2027 году - 9,5 млн. рублей.</w:t>
      </w:r>
      <w:proofErr w:type="gramEnd"/>
    </w:p>
    <w:p w:rsidR="0086255B" w:rsidRDefault="008B01DD" w:rsidP="0086255B">
      <w:pPr>
        <w:ind w:firstLine="709"/>
        <w:jc w:val="both"/>
      </w:pPr>
      <w:r>
        <w:t xml:space="preserve">Социальная направленность бюджета сохранена, доля расходов </w:t>
      </w:r>
      <w:r w:rsidR="0086255B">
        <w:br/>
      </w:r>
      <w:r>
        <w:t xml:space="preserve">на социальную сферу составляет на 2025 год 3,4 процентов общего объема расходов, в 2026 году - 74,6 процентов и в 2027 году - 76,0 процентов. </w:t>
      </w:r>
    </w:p>
    <w:p w:rsidR="0086255B" w:rsidRDefault="008B01DD" w:rsidP="0086255B">
      <w:pPr>
        <w:ind w:firstLine="709"/>
        <w:jc w:val="both"/>
      </w:pPr>
      <w:r>
        <w:t>В полном объеме запланирована индексация всех социальных выплат, установленных законодательством Челябинской области и Златоустовского городского округа.</w:t>
      </w:r>
    </w:p>
    <w:p w:rsidR="0086255B" w:rsidRDefault="008B01DD" w:rsidP="0086255B">
      <w:pPr>
        <w:ind w:firstLine="709"/>
        <w:jc w:val="both"/>
      </w:pPr>
      <w:r>
        <w:t xml:space="preserve">Расходы бюджета округа на оплату труда предусмотрены исходя </w:t>
      </w:r>
      <w:r w:rsidR="0086255B">
        <w:br/>
      </w:r>
      <w:r>
        <w:t xml:space="preserve">из необходимости сохранения достигнутого в рамках </w:t>
      </w:r>
      <w:proofErr w:type="gramStart"/>
      <w:r>
        <w:t>реализации социальных указов Президента Российской Федерации уровня заработной платы работников бюджетной сферы</w:t>
      </w:r>
      <w:proofErr w:type="gramEnd"/>
      <w:r>
        <w:t xml:space="preserve"> и дальнейшего повышения минимального размера оплаты труда.</w:t>
      </w:r>
    </w:p>
    <w:p w:rsidR="0086255B" w:rsidRDefault="008B01DD" w:rsidP="0086255B">
      <w:pPr>
        <w:ind w:firstLine="709"/>
        <w:jc w:val="both"/>
      </w:pPr>
      <w:r>
        <w:t xml:space="preserve">В составе расходов бюджета округа предусмотрено финансовое обеспечение реализации 15 муниципальных программ, программные расходы запланированы в объеме 99,6 процентов бюджетных ассигнований 2025 года </w:t>
      </w:r>
      <w:r w:rsidR="0086255B">
        <w:br/>
        <w:t>в сумме 7 497,8 млн. рублей, в 2026 году в сумме 7 262,3 млн. </w:t>
      </w:r>
      <w:r>
        <w:t xml:space="preserve">рублей, </w:t>
      </w:r>
      <w:r w:rsidR="0086255B">
        <w:br/>
        <w:t>в 2027 году в сумме 6 788,8 млн. </w:t>
      </w:r>
      <w:r>
        <w:t xml:space="preserve">рублей.  </w:t>
      </w:r>
    </w:p>
    <w:p w:rsidR="0086255B" w:rsidRDefault="008B01DD" w:rsidP="0086255B">
      <w:pPr>
        <w:ind w:firstLine="709"/>
        <w:jc w:val="both"/>
      </w:pPr>
      <w:r>
        <w:t xml:space="preserve">Бюджет городского округа на 2025 год и плановый период </w:t>
      </w:r>
      <w:r w:rsidR="0086255B">
        <w:br/>
      </w:r>
      <w:r>
        <w:t xml:space="preserve">2026-2027 годов сформирован без дефицита. </w:t>
      </w:r>
    </w:p>
    <w:p w:rsidR="0086255B" w:rsidRDefault="008B01DD" w:rsidP="0086255B">
      <w:pPr>
        <w:ind w:firstLine="709"/>
        <w:jc w:val="both"/>
      </w:pPr>
      <w:r>
        <w:t xml:space="preserve">В целях сохранения финансовой устойчивости и выполнения всех социальных обязательств городского округа перед населением </w:t>
      </w:r>
      <w:r w:rsidR="0086255B">
        <w:br/>
      </w:r>
      <w:r>
        <w:t>в 2025-2027 годах участники публичных слушаний рекомендуют:</w:t>
      </w:r>
    </w:p>
    <w:p w:rsidR="003835C8" w:rsidRDefault="0086255B" w:rsidP="003835C8">
      <w:pPr>
        <w:ind w:firstLine="709"/>
        <w:jc w:val="both"/>
      </w:pPr>
      <w:r>
        <w:t>1. </w:t>
      </w:r>
      <w:r w:rsidR="008B01DD">
        <w:t xml:space="preserve">Собранию депутатов Златоустовского городского округа рассмотреть проект решения Собрания депутатов Златоустовского городского округа </w:t>
      </w:r>
      <w:r w:rsidR="003835C8">
        <w:br/>
      </w:r>
      <w:r w:rsidR="008B01DD">
        <w:t xml:space="preserve">«О бюджете Златоустовского городского округа на 2025 год и плановый период 2026 и 2027 годов» и принять указанный проект. </w:t>
      </w:r>
    </w:p>
    <w:p w:rsidR="008B01DD" w:rsidRDefault="003835C8" w:rsidP="003835C8">
      <w:pPr>
        <w:ind w:firstLine="709"/>
        <w:jc w:val="both"/>
      </w:pPr>
      <w:r>
        <w:t>2. </w:t>
      </w:r>
      <w:r w:rsidR="008B01DD">
        <w:t>Администрации Златоустовского городского округа:</w:t>
      </w:r>
    </w:p>
    <w:p w:rsidR="008B01DD" w:rsidRDefault="003835C8" w:rsidP="008B01DD">
      <w:pPr>
        <w:jc w:val="both"/>
      </w:pPr>
      <w:r>
        <w:tab/>
        <w:t>1) </w:t>
      </w:r>
      <w:r w:rsidR="008B01DD">
        <w:t xml:space="preserve">активизировать работу по реализации мероприятий по наращиванию налогового потенциала и укреплению доходной базы бюджета городского округа за счёт использования имеющихся резервов по налоговым </w:t>
      </w:r>
      <w:r>
        <w:br/>
      </w:r>
      <w:r w:rsidR="008B01DD">
        <w:t>и неналоговым доходам;</w:t>
      </w:r>
    </w:p>
    <w:p w:rsidR="003835C8" w:rsidRDefault="003835C8" w:rsidP="008B01DD">
      <w:pPr>
        <w:jc w:val="both"/>
      </w:pPr>
      <w:r>
        <w:tab/>
        <w:t>2) </w:t>
      </w:r>
      <w:r w:rsidR="008B01DD">
        <w:t>продолжить работу в рамках деятельности антикри</w:t>
      </w:r>
      <w:r>
        <w:t>зисной комиссии, созданной при а</w:t>
      </w:r>
      <w:r w:rsidR="008B01DD">
        <w:t xml:space="preserve">дминистрации округа по обеспечению полноты </w:t>
      </w:r>
      <w:r>
        <w:br/>
      </w:r>
      <w:r w:rsidR="008B01DD">
        <w:t>и своевременности поступления налогов и сборов в бюджет и внебюджетные фонды, координации действий по работе с предприятиями, имеющими неудовлетворительные экономические показатели;</w:t>
      </w:r>
    </w:p>
    <w:p w:rsidR="008B01DD" w:rsidRDefault="003835C8" w:rsidP="003835C8">
      <w:pPr>
        <w:ind w:firstLine="709"/>
        <w:jc w:val="both"/>
      </w:pPr>
      <w:r>
        <w:t>3) </w:t>
      </w:r>
      <w:r w:rsidR="008B01DD">
        <w:t xml:space="preserve">оказать содействие в занятости населения для создания благоприятных налоговых условий, способствующих развитию предпринимательской активности и легализации бизнеса </w:t>
      </w:r>
      <w:proofErr w:type="spellStart"/>
      <w:r w:rsidR="008B01DD">
        <w:t>самозанятых</w:t>
      </w:r>
      <w:proofErr w:type="spellEnd"/>
      <w:r w:rsidR="008B01DD">
        <w:t xml:space="preserve"> граждан;</w:t>
      </w:r>
    </w:p>
    <w:p w:rsidR="008B01DD" w:rsidRDefault="003835C8" w:rsidP="008B01DD">
      <w:pPr>
        <w:jc w:val="both"/>
      </w:pPr>
      <w:r>
        <w:tab/>
        <w:t>4) </w:t>
      </w:r>
      <w:r w:rsidR="008B01DD">
        <w:t>сократить объем расходов на содержание органов местного самоуправления в объеме собственных доходов бюджета;</w:t>
      </w:r>
    </w:p>
    <w:p w:rsidR="003835C8" w:rsidRDefault="003835C8" w:rsidP="008B01DD">
      <w:pPr>
        <w:jc w:val="both"/>
      </w:pPr>
      <w:r>
        <w:tab/>
        <w:t>5) </w:t>
      </w:r>
      <w:r w:rsidR="008B01DD">
        <w:t>привести объемы финансирования по соответствующим муниципальным программам в соответствие с объемами финансирования, предусмотренными решением Собрания депутатов Златоустовского городского округа «О бюджете Златоустовского городского округа на 2025 год и плановый период 2026 и 2027 годов».</w:t>
      </w:r>
    </w:p>
    <w:p w:rsidR="008B01DD" w:rsidRDefault="003835C8" w:rsidP="003835C8">
      <w:pPr>
        <w:ind w:firstLine="709"/>
        <w:jc w:val="both"/>
      </w:pPr>
      <w:r>
        <w:t>3. </w:t>
      </w:r>
      <w:r w:rsidR="008B01DD">
        <w:t>Главным администраторам доходов бюджета городского округа:</w:t>
      </w:r>
    </w:p>
    <w:p w:rsidR="008B01DD" w:rsidRDefault="003835C8" w:rsidP="003835C8">
      <w:pPr>
        <w:ind w:firstLine="709"/>
        <w:jc w:val="both"/>
      </w:pPr>
      <w:r>
        <w:t>1) </w:t>
      </w:r>
      <w:r w:rsidR="008B01DD">
        <w:t xml:space="preserve">повысить уровень собираемости в бюджет городского округа администрируемых доходов и продолжить работу по привлечению резервов </w:t>
      </w:r>
      <w:r>
        <w:br/>
      </w:r>
      <w:r w:rsidR="008B01DD">
        <w:t>и увеличения их поступлений, особое внимание уделить работе по сокращению имеющейся дебиторской задолженности по администрируемым доходам;</w:t>
      </w:r>
    </w:p>
    <w:p w:rsidR="008B01DD" w:rsidRDefault="003835C8" w:rsidP="008B01DD">
      <w:pPr>
        <w:jc w:val="both"/>
      </w:pPr>
      <w:r>
        <w:tab/>
        <w:t>2) </w:t>
      </w:r>
      <w:r w:rsidR="008B01DD">
        <w:t xml:space="preserve">принять меры по повышению качества планирования налоговых </w:t>
      </w:r>
      <w:r>
        <w:br/>
      </w:r>
      <w:r w:rsidR="008B01DD">
        <w:t xml:space="preserve">и неналоговых доходов бюджета Златоустовского городского округа, </w:t>
      </w:r>
      <w:r>
        <w:br/>
      </w:r>
      <w:r w:rsidR="008B01DD">
        <w:t>в том числе за счет планирования по неналоговым доходам ожидаемых поступлений по результатам работы по взысканию в местный бюджет дебиторской задолженности.</w:t>
      </w:r>
    </w:p>
    <w:p w:rsidR="008B01DD" w:rsidRDefault="003835C8" w:rsidP="008B01DD">
      <w:pPr>
        <w:jc w:val="both"/>
      </w:pPr>
      <w:r>
        <w:tab/>
        <w:t>4. </w:t>
      </w:r>
      <w:r w:rsidR="008B01DD">
        <w:t>Главным распорядителям средств бюджета Златоустовского городского округа:</w:t>
      </w:r>
    </w:p>
    <w:p w:rsidR="003835C8" w:rsidRDefault="003835C8" w:rsidP="003835C8">
      <w:pPr>
        <w:ind w:firstLine="709"/>
        <w:jc w:val="both"/>
      </w:pPr>
      <w:r>
        <w:t>1) </w:t>
      </w:r>
      <w:r w:rsidR="008B01DD">
        <w:t>продолжить повышение качества подготовки и эффективности реализации муниципальных программ, в том числе качество и увязку целевых индикаторов и показателей муниципальной  программы с ее ресурсами;</w:t>
      </w:r>
    </w:p>
    <w:p w:rsidR="003835C8" w:rsidRDefault="003835C8" w:rsidP="003835C8">
      <w:pPr>
        <w:ind w:firstLine="709"/>
        <w:jc w:val="both"/>
      </w:pPr>
      <w:r>
        <w:t>2) </w:t>
      </w:r>
      <w:r w:rsidR="008B01DD">
        <w:t xml:space="preserve">обеспечить реализацию Указа Президента Российской Федерации </w:t>
      </w:r>
      <w:r>
        <w:br/>
      </w:r>
      <w:r w:rsidR="008B01DD">
        <w:t xml:space="preserve">от </w:t>
      </w:r>
      <w:r>
        <w:t>07 мая 2024 года № </w:t>
      </w:r>
      <w:r w:rsidR="008B01DD">
        <w:t>309 «О национальных целях развития Российской Федерации на период до 2030 года и на перспективу до 2036 года»;</w:t>
      </w:r>
    </w:p>
    <w:p w:rsidR="003835C8" w:rsidRDefault="003835C8" w:rsidP="003835C8">
      <w:pPr>
        <w:ind w:firstLine="709"/>
        <w:jc w:val="both"/>
      </w:pPr>
      <w:r>
        <w:t>3) </w:t>
      </w:r>
      <w:r w:rsidR="008B01DD">
        <w:t>обеспечить сохранение достигнутых индикативных значений средней заработной платы работников бюджетной сферы в соответствии с указами Президента Российской Федерации от 2012 года;</w:t>
      </w:r>
    </w:p>
    <w:p w:rsidR="003835C8" w:rsidRDefault="003835C8" w:rsidP="003835C8">
      <w:pPr>
        <w:ind w:firstLine="709"/>
        <w:jc w:val="both"/>
      </w:pPr>
      <w:r>
        <w:t>4) </w:t>
      </w:r>
      <w:r w:rsidR="008B01DD">
        <w:t xml:space="preserve">принять меры по соблюдению соглашений о выделении средств областного бюджета на </w:t>
      </w:r>
      <w:proofErr w:type="spellStart"/>
      <w:r w:rsidR="008B01DD">
        <w:t>софинансирование</w:t>
      </w:r>
      <w:proofErr w:type="spellEnd"/>
      <w:r w:rsidR="008B01DD">
        <w:t xml:space="preserve"> полномочий органов местного самоуправления, а также обеспечить эффективное использование указанных средств и достижение установленных соглашениями индикативных показателей;</w:t>
      </w:r>
    </w:p>
    <w:p w:rsidR="003835C8" w:rsidRDefault="003835C8" w:rsidP="003835C8">
      <w:pPr>
        <w:ind w:firstLine="709"/>
        <w:jc w:val="both"/>
      </w:pPr>
      <w:r>
        <w:t>5) </w:t>
      </w:r>
      <w:r w:rsidR="008B01DD">
        <w:t>принять меры по повышению качества бюджетного планирования;</w:t>
      </w:r>
    </w:p>
    <w:p w:rsidR="003835C8" w:rsidRDefault="003835C8" w:rsidP="003835C8">
      <w:pPr>
        <w:ind w:firstLine="709"/>
        <w:jc w:val="both"/>
      </w:pPr>
      <w:r>
        <w:t>6) </w:t>
      </w:r>
      <w:r w:rsidR="008B01DD">
        <w:t>обеспечить соблюдение установленных нормативов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служащих;</w:t>
      </w:r>
    </w:p>
    <w:p w:rsidR="003835C8" w:rsidRDefault="003835C8" w:rsidP="003835C8">
      <w:pPr>
        <w:ind w:firstLine="709"/>
        <w:jc w:val="both"/>
      </w:pPr>
      <w:r>
        <w:t>7) </w:t>
      </w:r>
      <w:r w:rsidR="008B01DD">
        <w:t xml:space="preserve">обеспечить целевое и эффективное использование средств бюджета </w:t>
      </w:r>
      <w:r>
        <w:br/>
      </w:r>
      <w:r w:rsidR="008B01DD">
        <w:t>для достижения запланированных результатов;</w:t>
      </w:r>
    </w:p>
    <w:p w:rsidR="003835C8" w:rsidRDefault="003835C8" w:rsidP="003835C8">
      <w:pPr>
        <w:ind w:firstLine="709"/>
        <w:jc w:val="both"/>
      </w:pPr>
      <w:r>
        <w:t>8) </w:t>
      </w:r>
      <w:r w:rsidR="008B01DD">
        <w:t xml:space="preserve">усилить </w:t>
      </w:r>
      <w:proofErr w:type="gramStart"/>
      <w:r w:rsidR="008B01DD">
        <w:t>контроль за</w:t>
      </w:r>
      <w:proofErr w:type="gramEnd"/>
      <w:r w:rsidR="008B01DD">
        <w:t xml:space="preserve"> выполнением муниципальными учреждениями муниципальных заданий на оказание муниципальных услуг (выполнение работ), в том числе за качеством оказываемых муниципальными учреждениями муниципальных услуг;</w:t>
      </w:r>
    </w:p>
    <w:p w:rsidR="003835C8" w:rsidRDefault="003835C8" w:rsidP="003835C8">
      <w:pPr>
        <w:ind w:firstLine="709"/>
        <w:jc w:val="both"/>
      </w:pPr>
      <w:r>
        <w:t>9) </w:t>
      </w:r>
      <w:r w:rsidR="008B01DD">
        <w:t>обеспечить выполнение авансовых платежей в случае крайней необходимости;</w:t>
      </w:r>
    </w:p>
    <w:p w:rsidR="003835C8" w:rsidRDefault="003835C8" w:rsidP="003835C8">
      <w:pPr>
        <w:ind w:firstLine="709"/>
        <w:jc w:val="both"/>
      </w:pPr>
      <w:r>
        <w:t>10) </w:t>
      </w:r>
      <w:r w:rsidR="008B01DD">
        <w:t>принять меры по недопущению образования просроченной кредиторской задолженности по принятым обязательствам, в первую очередь, по заработной плате работникам муниципальных учреждений;</w:t>
      </w:r>
    </w:p>
    <w:p w:rsidR="003835C8" w:rsidRDefault="003835C8" w:rsidP="003835C8">
      <w:pPr>
        <w:ind w:firstLine="709"/>
        <w:jc w:val="both"/>
      </w:pPr>
      <w:r>
        <w:t>11) </w:t>
      </w:r>
      <w:r w:rsidR="008B01DD">
        <w:t xml:space="preserve">обеспечить участие граждан в выборе приоритетов бюджетных расходов через механизм </w:t>
      </w:r>
      <w:proofErr w:type="gramStart"/>
      <w:r w:rsidR="008B01DD">
        <w:t>инициативного</w:t>
      </w:r>
      <w:proofErr w:type="gramEnd"/>
      <w:r w:rsidR="008B01DD">
        <w:t xml:space="preserve"> бюджетирования;</w:t>
      </w:r>
    </w:p>
    <w:p w:rsidR="008B01DD" w:rsidRDefault="003835C8" w:rsidP="003835C8">
      <w:pPr>
        <w:ind w:firstLine="709"/>
        <w:jc w:val="both"/>
      </w:pPr>
      <w:r>
        <w:t>12) </w:t>
      </w:r>
      <w:r w:rsidR="008B01DD">
        <w:t>не допускать:</w:t>
      </w:r>
    </w:p>
    <w:p w:rsidR="003835C8" w:rsidRDefault="008B01DD" w:rsidP="008B01DD">
      <w:pPr>
        <w:jc w:val="both"/>
      </w:pPr>
      <w:r>
        <w:tab/>
        <w:t>принятия бюджетных обязательств в размерах, превышающих утвержденные</w:t>
      </w:r>
      <w:r w:rsidR="003835C8">
        <w:t xml:space="preserve"> лимиты бюджетных обязательств;</w:t>
      </w:r>
    </w:p>
    <w:p w:rsidR="003835C8" w:rsidRDefault="008B01DD" w:rsidP="003835C8">
      <w:pPr>
        <w:ind w:firstLine="709"/>
        <w:jc w:val="both"/>
      </w:pPr>
      <w:r>
        <w:t>принятия новых расходных обязатель</w:t>
      </w:r>
      <w:proofErr w:type="gramStart"/>
      <w:r>
        <w:t>ств пр</w:t>
      </w:r>
      <w:proofErr w:type="gramEnd"/>
      <w:r>
        <w:t xml:space="preserve">и отсутствии средств </w:t>
      </w:r>
      <w:r w:rsidR="003835C8">
        <w:br/>
      </w:r>
      <w:r>
        <w:t>на финансирование действующих расходных обязательств;</w:t>
      </w:r>
    </w:p>
    <w:p w:rsidR="003835C8" w:rsidRDefault="008B01DD" w:rsidP="003835C8">
      <w:pPr>
        <w:ind w:firstLine="709"/>
        <w:jc w:val="both"/>
      </w:pPr>
      <w:r>
        <w:t xml:space="preserve">принятия решений, приводящих к увеличению численности работников, </w:t>
      </w:r>
      <w:r w:rsidR="003835C8">
        <w:br/>
      </w:r>
      <w:r>
        <w:t>в том числе муниципальных служащих при отсутствии источника финансирования;</w:t>
      </w:r>
    </w:p>
    <w:p w:rsidR="003835C8" w:rsidRDefault="008B01DD" w:rsidP="003835C8">
      <w:pPr>
        <w:ind w:firstLine="709"/>
        <w:jc w:val="both"/>
      </w:pPr>
      <w:r>
        <w:t xml:space="preserve">использования экономии бюджетных средств, полученной </w:t>
      </w:r>
      <w:r w:rsidR="003835C8">
        <w:br/>
      </w:r>
      <w:r>
        <w:t>при осуществлении закупок товаров, работ, услуг муниципальными заказчиками, муниципальными бюджетными и автономными учреждениями городского округа без принятого решения администрации Златоустовского городского округа;</w:t>
      </w:r>
    </w:p>
    <w:p w:rsidR="003835C8" w:rsidRDefault="003835C8" w:rsidP="003835C8">
      <w:pPr>
        <w:ind w:firstLine="709"/>
        <w:jc w:val="both"/>
      </w:pPr>
      <w:r>
        <w:t>13) </w:t>
      </w:r>
      <w:r w:rsidR="008B01DD">
        <w:t>ежемесячно проводить сверку с налоговыми органами на наличие задолженности</w:t>
      </w:r>
      <w:r>
        <w:t xml:space="preserve"> </w:t>
      </w:r>
      <w:r w:rsidR="008B01DD">
        <w:t>/</w:t>
      </w:r>
      <w:r>
        <w:t xml:space="preserve"> </w:t>
      </w:r>
      <w:r w:rsidR="008B01DD">
        <w:t>переплаты в бюджет, в том числе по сотрудникам учреждений бюджетной сферы;</w:t>
      </w:r>
    </w:p>
    <w:p w:rsidR="008B01DD" w:rsidRDefault="003835C8" w:rsidP="003835C8">
      <w:pPr>
        <w:ind w:firstLine="709"/>
        <w:jc w:val="both"/>
      </w:pPr>
      <w:r>
        <w:t>14) </w:t>
      </w:r>
      <w:r w:rsidR="008B01DD">
        <w:t>обеспечить правильность оформления платежных документов, своевременность предоставления расчётов и уведомлений по исчисленным налогам в налоговые органы;</w:t>
      </w:r>
    </w:p>
    <w:p w:rsidR="003835C8" w:rsidRDefault="003835C8" w:rsidP="003835C8">
      <w:pPr>
        <w:ind w:firstLine="709"/>
        <w:jc w:val="both"/>
      </w:pPr>
      <w:r>
        <w:t>15) </w:t>
      </w:r>
      <w:r w:rsidR="008B01DD">
        <w:t>координировать уплату имущественных налогов и прочей налоговой задолженности сотрудниками управлений и учреждений бюджетной сферы округа.</w:t>
      </w:r>
    </w:p>
    <w:p w:rsidR="008B01DD" w:rsidRDefault="003835C8" w:rsidP="003835C8">
      <w:pPr>
        <w:ind w:firstLine="709"/>
        <w:jc w:val="both"/>
      </w:pPr>
      <w:r>
        <w:t xml:space="preserve">5. </w:t>
      </w:r>
      <w:r w:rsidR="008B01DD">
        <w:t xml:space="preserve">Инспекции Федеральной налоговой службы России по Челябинской области продолжить работу </w:t>
      </w:r>
      <w:proofErr w:type="gramStart"/>
      <w:r w:rsidR="008B01DD">
        <w:t>по</w:t>
      </w:r>
      <w:proofErr w:type="gramEnd"/>
      <w:r w:rsidR="008B01DD">
        <w:t>:</w:t>
      </w:r>
      <w:r w:rsidR="008B01DD">
        <w:tab/>
      </w:r>
    </w:p>
    <w:p w:rsidR="003835C8" w:rsidRDefault="003835C8" w:rsidP="003835C8">
      <w:pPr>
        <w:ind w:firstLine="709"/>
        <w:jc w:val="both"/>
      </w:pPr>
      <w:r>
        <w:t>1) </w:t>
      </w:r>
      <w:r w:rsidR="008B01DD">
        <w:t>реализации предусмотренных законодательством Российской Федера</w:t>
      </w:r>
      <w:r>
        <w:t xml:space="preserve">ции </w:t>
      </w:r>
      <w:proofErr w:type="gramStart"/>
      <w:r>
        <w:t>мер</w:t>
      </w:r>
      <w:proofErr w:type="gramEnd"/>
      <w:r>
        <w:t xml:space="preserve"> по обеспечению полноты </w:t>
      </w:r>
      <w:r w:rsidR="008B01DD">
        <w:t>взыскания имеющейся задолженности по налогам и сборам в бюджетную систему Российской Федерации, в том числе в бюджет городского округа;</w:t>
      </w:r>
    </w:p>
    <w:p w:rsidR="003835C8" w:rsidRDefault="003835C8" w:rsidP="003835C8">
      <w:pPr>
        <w:ind w:firstLine="709"/>
        <w:jc w:val="both"/>
      </w:pPr>
      <w:r>
        <w:t>2) </w:t>
      </w:r>
      <w:r w:rsidR="008B01DD">
        <w:t>обеспечению своевременного и в полном объеме поступления налога на доходы физических лиц, удерживаемого налоговыми агентами;</w:t>
      </w:r>
    </w:p>
    <w:p w:rsidR="003835C8" w:rsidRDefault="003835C8" w:rsidP="003835C8">
      <w:pPr>
        <w:ind w:firstLine="709"/>
        <w:jc w:val="both"/>
      </w:pPr>
      <w:proofErr w:type="gramStart"/>
      <w:r>
        <w:t>3) </w:t>
      </w:r>
      <w:r w:rsidR="008B01DD">
        <w:t>выявлению фактов умышленного занижения финансовых результатов для целей налогообложения, пресечению «теневой» экономики, нелегальной занятости, сокращению задолженности и применения полного комплекса мер принудительного взыскания задолженности, выявлению и обеспечению постановки на налоговый учет всех потенциальных плательщиков и объектов налогообложения, в целях привлечения к декларированию полученных доходов и эффективному использованию имущества и земельных ресурсов;</w:t>
      </w:r>
      <w:proofErr w:type="gramEnd"/>
    </w:p>
    <w:p w:rsidR="003835C8" w:rsidRDefault="003835C8" w:rsidP="003835C8">
      <w:pPr>
        <w:ind w:firstLine="709"/>
        <w:jc w:val="both"/>
      </w:pPr>
      <w:r>
        <w:t>4) </w:t>
      </w:r>
      <w:r w:rsidR="008B01DD">
        <w:t xml:space="preserve">актуализации базы данных налогового органа с целью обеспечения полноты и правильности исчисления налога на имущество физических лиц </w:t>
      </w:r>
      <w:r>
        <w:br/>
      </w:r>
      <w:r w:rsidR="008B01DD">
        <w:t xml:space="preserve">и земельного налога; </w:t>
      </w:r>
    </w:p>
    <w:p w:rsidR="003835C8" w:rsidRDefault="003835C8" w:rsidP="003835C8">
      <w:pPr>
        <w:ind w:firstLine="709"/>
        <w:jc w:val="both"/>
      </w:pPr>
      <w:r>
        <w:t>5) </w:t>
      </w:r>
      <w:r w:rsidR="008B01DD">
        <w:t xml:space="preserve">анализу эксплуатации жителями округа сервиса «Личный кабинет налогоплательщика». </w:t>
      </w:r>
    </w:p>
    <w:p w:rsidR="003835C8" w:rsidRDefault="008B01DD" w:rsidP="003835C8">
      <w:pPr>
        <w:ind w:firstLine="709"/>
        <w:jc w:val="both"/>
      </w:pPr>
      <w:r>
        <w:t xml:space="preserve">В случае выявления проблем, препятствующих качественному функционированию государственного информационного ресурса и повышению результативности его использования, налоговым органам совместно с органами местного самоуправления необходимо определить первоочередные подходы </w:t>
      </w:r>
      <w:r w:rsidR="003835C8">
        <w:br/>
      </w:r>
      <w:r>
        <w:t xml:space="preserve">к их решению. </w:t>
      </w:r>
    </w:p>
    <w:p w:rsidR="003835C8" w:rsidRDefault="003835C8" w:rsidP="003835C8">
      <w:pPr>
        <w:ind w:firstLine="709"/>
        <w:jc w:val="both"/>
      </w:pPr>
      <w:r>
        <w:t>6. </w:t>
      </w:r>
      <w:r w:rsidR="008B01DD">
        <w:t xml:space="preserve">Руководителям организаций, индивидуальным предпринимателям </w:t>
      </w:r>
      <w:r>
        <w:br/>
      </w:r>
      <w:r w:rsidR="008B01DD">
        <w:t xml:space="preserve">и физическим лицам, являющимся налогоплательщиками на территории городского округа, обеспечивать строгое соблюдение налогового законодательства Российской Федерации по своевременному и полному перечислению налогов и сборов в бюджетную систему Российской Федерации, в том числе в бюджет городского округа. </w:t>
      </w:r>
    </w:p>
    <w:p w:rsidR="003835C8" w:rsidRDefault="008B01DD" w:rsidP="003835C8">
      <w:pPr>
        <w:ind w:firstLine="709"/>
        <w:jc w:val="both"/>
      </w:pPr>
      <w:r>
        <w:t xml:space="preserve">Кроме того, в связи с применением института единого налогового платежа, предусматривающего уплату налогов одним платежным поручением </w:t>
      </w:r>
      <w:r w:rsidR="003835C8">
        <w:br/>
      </w:r>
      <w:r>
        <w:t>с последующим распределением в счет причитающихся налоговых обязатель</w:t>
      </w:r>
      <w:proofErr w:type="gramStart"/>
      <w:r>
        <w:t>ств пр</w:t>
      </w:r>
      <w:proofErr w:type="gramEnd"/>
      <w:r>
        <w:t xml:space="preserve">и наступлении сроков уплаты, обращать особое внимание субъектов предпринимательства на правильность оформления платежных документов, своевременность предоставления расчётов и уведомлений </w:t>
      </w:r>
      <w:r w:rsidR="003835C8">
        <w:br/>
      </w:r>
      <w:r>
        <w:t>по исчисленным налогам.</w:t>
      </w:r>
    </w:p>
    <w:p w:rsidR="008B01DD" w:rsidRPr="00E335AA" w:rsidRDefault="008B01DD" w:rsidP="003835C8">
      <w:pPr>
        <w:ind w:firstLine="709"/>
        <w:jc w:val="both"/>
      </w:pPr>
      <w:r>
        <w:t>А также во избежание потерь местного бюджета, в случае возникновения переплаты в бюджетную систему, в соответствии с налоговым законодательством, своевременно оформлять заявления на удержание суммы переплаты налогоплательщика в счет будущих платежей.</w:t>
      </w:r>
    </w:p>
    <w:sectPr w:rsidR="008B01DD" w:rsidRPr="00E335AA" w:rsidSect="008B01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5B" w:rsidRDefault="0086255B">
      <w:r>
        <w:separator/>
      </w:r>
    </w:p>
  </w:endnote>
  <w:endnote w:type="continuationSeparator" w:id="0">
    <w:p w:rsidR="0086255B" w:rsidRDefault="0086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5B" w:rsidRPr="00FF7009" w:rsidRDefault="0086255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Вр-399063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5B" w:rsidRPr="00C9340B" w:rsidRDefault="0086255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Вр-399063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5B" w:rsidRDefault="0086255B">
      <w:r>
        <w:separator/>
      </w:r>
    </w:p>
  </w:footnote>
  <w:footnote w:type="continuationSeparator" w:id="0">
    <w:p w:rsidR="0086255B" w:rsidRDefault="00862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5B" w:rsidRPr="00FF7009" w:rsidRDefault="0086255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B7662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5B" w:rsidRPr="00E045E8" w:rsidRDefault="0086255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5F2B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360F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5C8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6EE4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55B"/>
    <w:rsid w:val="00864FCB"/>
    <w:rsid w:val="0087178B"/>
    <w:rsid w:val="00883C4E"/>
    <w:rsid w:val="008906F0"/>
    <w:rsid w:val="008A3BD8"/>
    <w:rsid w:val="008B01DD"/>
    <w:rsid w:val="008D0B4E"/>
    <w:rsid w:val="008D3FF4"/>
    <w:rsid w:val="008D448F"/>
    <w:rsid w:val="008E2021"/>
    <w:rsid w:val="008E711D"/>
    <w:rsid w:val="008F6496"/>
    <w:rsid w:val="008F791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665B"/>
    <w:rsid w:val="00D72B62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766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23CE-ADA0-4859-BF01-21EF194F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13084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2024-12-09T08:08:00Z</dcterms:created>
  <dcterms:modified xsi:type="dcterms:W3CDTF">2024-12-09T08:08:00Z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