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21E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53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4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992"/>
        <w:gridCol w:w="3595"/>
        <w:gridCol w:w="992"/>
      </w:tblGrid>
      <w:tr w:rsidR="009416DA" w:rsidRPr="00E335AA" w:rsidTr="00AA0B95">
        <w:trPr>
          <w:gridAfter w:val="1"/>
          <w:wAfter w:w="992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EB21E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9416DA" w:rsidRPr="009416DA" w:rsidRDefault="00EB21E3" w:rsidP="00E4076D">
            <w:fldSimple w:instr=" DOCPROPERTY  Рег.№  \* MERGEFORMAT ">
              <w:r w:rsidR="009416DA" w:rsidRPr="009416DA">
                <w:t>145-П/АДМ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0B95">
        <w:trPr>
          <w:gridAfter w:val="1"/>
          <w:wAfter w:w="992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A0B95">
        <w:trPr>
          <w:trHeight w:val="446"/>
        </w:trPr>
        <w:tc>
          <w:tcPr>
            <w:tcW w:w="5103" w:type="dxa"/>
            <w:gridSpan w:val="4"/>
          </w:tcPr>
          <w:p w:rsidR="00D96BA1" w:rsidRDefault="005C6AFC" w:rsidP="005C6AFC">
            <w:pPr>
              <w:ind w:left="-170"/>
              <w:jc w:val="both"/>
            </w:pPr>
            <w:r>
              <w:t>О внесении изменений в постановление Администрации Златоустовского городского округа от 01.07.2016 г. № 291-П «Об утверждении Порядка уведомления представителя нанимателя (р</w:t>
            </w:r>
            <w:bookmarkStart w:id="0" w:name="_GoBack"/>
            <w:bookmarkEnd w:id="0"/>
            <w:r>
              <w:t xml:space="preserve">аботодателя) о фактах обращения </w:t>
            </w:r>
            <w:r>
              <w:br/>
              <w:t xml:space="preserve">в целях склонения к совершению коррупционных правонарушений работников, замещающих должности на основании трудового договора </w:t>
            </w:r>
            <w:r>
              <w:br/>
              <w:t>в органах местного самоуправления Златоустовского городского округа, отраслевых органах Администрации Златоу</w:t>
            </w:r>
            <w:r w:rsidR="006965F9">
              <w:t xml:space="preserve">стовского городского округа, </w:t>
            </w:r>
            <w:r>
              <w:br/>
            </w:r>
            <w:r w:rsidR="00A3586D" w:rsidRPr="00A3586D">
              <w:t>отраслевых органах Администрации Златоустовского городского округа</w:t>
            </w:r>
            <w:r w:rsidR="00A3586D">
              <w:t>,</w:t>
            </w:r>
            <w:r w:rsidR="00A3586D">
              <w:br/>
            </w:r>
            <w:r>
              <w:t>не отнесенные к должностям муниципальной службы, работников муниципальных учреждений, созданных в целях выполнения задач, поставленных перед органами местного самоуправления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C6AFC" w:rsidRDefault="005C6AFC" w:rsidP="009416DA">
      <w:pPr>
        <w:widowControl w:val="0"/>
        <w:ind w:firstLine="709"/>
        <w:jc w:val="both"/>
      </w:pPr>
    </w:p>
    <w:p w:rsidR="009416DA" w:rsidRPr="00E4076D" w:rsidRDefault="005C6AFC" w:rsidP="009416DA">
      <w:pPr>
        <w:widowControl w:val="0"/>
        <w:ind w:firstLine="709"/>
        <w:jc w:val="both"/>
      </w:pPr>
      <w:r w:rsidRPr="005C6AFC">
        <w:t>В целях эффективного исполнения Фе</w:t>
      </w:r>
      <w:r w:rsidR="00A43A3C">
        <w:t>дерального закона от 25.12.2008 г. № </w:t>
      </w:r>
      <w:r w:rsidRPr="005C6AFC">
        <w:t>273-ФЗ «О противодействии коррупции»,</w:t>
      </w:r>
    </w:p>
    <w:p w:rsidR="005C6AFC" w:rsidRDefault="00F12903" w:rsidP="005C6AFC">
      <w:pPr>
        <w:widowControl w:val="0"/>
        <w:ind w:firstLine="708"/>
        <w:jc w:val="both"/>
      </w:pPr>
      <w:r>
        <w:t>ПОСТАНОВЛЯЮ:</w:t>
      </w:r>
    </w:p>
    <w:p w:rsidR="005C6AFC" w:rsidRDefault="00A43A3C" w:rsidP="005C6AFC">
      <w:pPr>
        <w:widowControl w:val="0"/>
        <w:ind w:firstLine="708"/>
        <w:jc w:val="both"/>
      </w:pPr>
      <w:r>
        <w:t>1. </w:t>
      </w:r>
      <w:r w:rsidR="005C6AFC">
        <w:t xml:space="preserve">Внести в постановление Администрации Златоустовского </w:t>
      </w:r>
      <w:r>
        <w:t>городского округа от 01.07.2016 г. № </w:t>
      </w:r>
      <w:r w:rsidR="005C6AFC">
        <w:t>291-П «Об утверждении Порядка уведомления представителя нанимателя (ра</w:t>
      </w:r>
      <w:r>
        <w:t>ботодателя) о фактах обращения</w:t>
      </w:r>
      <w:r w:rsidR="005C6AFC">
        <w:t xml:space="preserve"> в целях склонения к совершению коррупционных правонарушений работников, </w:t>
      </w:r>
      <w:r w:rsidR="005C6AFC">
        <w:lastRenderedPageBreak/>
        <w:t>замещающих должности на основании трудового договора в органах местного самоуправления Златоустовского городского округа, отраслевых органах Администрации Златоустовского го</w:t>
      </w:r>
      <w:r w:rsidR="00422639">
        <w:t>родского округа</w:t>
      </w:r>
      <w:r w:rsidR="005C6AFC">
        <w:t xml:space="preserve">, </w:t>
      </w:r>
      <w:r w:rsidR="00A3586D" w:rsidRPr="00A3586D">
        <w:t>отраслевых органах Администрации З</w:t>
      </w:r>
      <w:r w:rsidR="00A3586D">
        <w:t xml:space="preserve">латоустовского городского округа, </w:t>
      </w:r>
      <w:r w:rsidR="005C6AFC">
        <w:t xml:space="preserve">не отнесенные </w:t>
      </w:r>
      <w:r>
        <w:br/>
      </w:r>
      <w:r w:rsidR="005C6AFC">
        <w:t xml:space="preserve">к должностям муниципальной службы, работников муниципальных учреждений, созданных в целях выполнения задач, поставленных перед органами </w:t>
      </w:r>
      <w:r>
        <w:t xml:space="preserve">местного самоуправления </w:t>
      </w:r>
      <w:r w:rsidR="005C6AFC">
        <w:t xml:space="preserve">Златоустовского городского округа» </w:t>
      </w:r>
      <w:r>
        <w:br/>
        <w:t>(с изменениями от 18.12.2023 г. № </w:t>
      </w:r>
      <w:r w:rsidR="005C6AFC">
        <w:t>487-П/АДМ) следующие изменения:</w:t>
      </w:r>
    </w:p>
    <w:p w:rsidR="005C6AFC" w:rsidRDefault="00A43A3C" w:rsidP="005C6AFC">
      <w:pPr>
        <w:widowControl w:val="0"/>
        <w:ind w:firstLine="708"/>
        <w:jc w:val="both"/>
      </w:pPr>
      <w:r>
        <w:t>1) </w:t>
      </w:r>
      <w:r w:rsidR="005C6AFC">
        <w:t>пункт 4 исключить;</w:t>
      </w:r>
    </w:p>
    <w:p w:rsidR="005C6AFC" w:rsidRDefault="00A43A3C" w:rsidP="005C6AFC">
      <w:pPr>
        <w:widowControl w:val="0"/>
        <w:ind w:firstLine="708"/>
        <w:jc w:val="both"/>
      </w:pPr>
      <w:r>
        <w:t>2) </w:t>
      </w:r>
      <w:r w:rsidR="005C6AFC">
        <w:t>в приложение внести следующие изменения:</w:t>
      </w:r>
    </w:p>
    <w:p w:rsidR="005C6AFC" w:rsidRDefault="00A43A3C" w:rsidP="005C6AFC">
      <w:pPr>
        <w:widowControl w:val="0"/>
        <w:ind w:firstLine="708"/>
        <w:jc w:val="both"/>
      </w:pPr>
      <w:r>
        <w:t>1) </w:t>
      </w:r>
      <w:r w:rsidR="005C6AFC">
        <w:t>пункты 1 и 2 изложить в следующей редакции:</w:t>
      </w:r>
    </w:p>
    <w:p w:rsidR="005C6AFC" w:rsidRDefault="00A43A3C" w:rsidP="005C6AFC">
      <w:pPr>
        <w:widowControl w:val="0"/>
        <w:ind w:firstLine="708"/>
        <w:jc w:val="both"/>
      </w:pPr>
      <w:r>
        <w:t>«1. </w:t>
      </w:r>
      <w:r w:rsidR="005C6AFC">
        <w:t>Настоящий Порядок уведомления представителя нанимателя (работодателя) о фактах обращения в целях склонения к совершению коррупционных правонарушений работников Администрации Златоустовского городского округа, Финансового управления Златоустовского городского округа, Управления социальной защиты населения Злат</w:t>
      </w:r>
      <w:r>
        <w:t>оустовского городского округа, о</w:t>
      </w:r>
      <w:r w:rsidR="005C6AFC">
        <w:t xml:space="preserve">ргана местного самоуправления «Комитет по управлению имуществом Златоустовского городского округа», работников отраслевых органов Администрации Златоустовского городского округа, замещающих </w:t>
      </w:r>
      <w:r>
        <w:br/>
      </w:r>
      <w:r w:rsidR="005C6AFC">
        <w:t xml:space="preserve">на основании трудового договора должности, не отнесенные к должностям муниципальной службы, работников муниципальных учреждений, созданных </w:t>
      </w:r>
      <w:r>
        <w:br/>
      </w:r>
      <w:r w:rsidR="005C6AFC">
        <w:t>в целях выполнения задач, поставленных перед органами местного самоуправления Златоустовского городского окру</w:t>
      </w:r>
      <w:r>
        <w:t>га (далее - </w:t>
      </w:r>
      <w:r w:rsidR="005C6AFC">
        <w:t>Порядок) устанавливает процедуру уведомления:</w:t>
      </w:r>
    </w:p>
    <w:p w:rsidR="005C6AFC" w:rsidRDefault="005C6AFC" w:rsidP="005C6AFC">
      <w:pPr>
        <w:widowControl w:val="0"/>
        <w:ind w:firstLine="708"/>
        <w:jc w:val="both"/>
      </w:pPr>
      <w:r>
        <w:t>работниками Администрации Златоустовского городского округа, Финансового управления Златоустовского городского округа, Управления социальной защиты населения Златоустовского городского округа</w:t>
      </w:r>
      <w:r w:rsidR="00A43A3C">
        <w:t>, о</w:t>
      </w:r>
      <w:r>
        <w:t>ргана местного самоуправления «Комитет по управлению имуществом Златоустовск</w:t>
      </w:r>
      <w:r w:rsidR="00A43A3C">
        <w:t xml:space="preserve">ого городского округа» (далее - </w:t>
      </w:r>
      <w:r>
        <w:t xml:space="preserve">органы местного самоуправления Златоустовского городского  округа), под которыми понимаются лица, замещающие на основании трудового договора в органах местного самоуправления Златоустовского городского округа должности, которые </w:t>
      </w:r>
      <w:r w:rsidR="00A43A3C">
        <w:br/>
      </w:r>
      <w:r>
        <w:t>не являются должностями муниципальной службы;</w:t>
      </w:r>
    </w:p>
    <w:p w:rsidR="005C6AFC" w:rsidRDefault="005C6AFC" w:rsidP="005C6AFC">
      <w:pPr>
        <w:widowControl w:val="0"/>
        <w:ind w:firstLine="708"/>
        <w:jc w:val="both"/>
      </w:pPr>
      <w:r>
        <w:t>работниками отраслевых органов Администрации Златоустовского городского округа, замещающими на основании трудового договора должности, не отнесенные к должностям муниципальной службы;</w:t>
      </w:r>
    </w:p>
    <w:p w:rsidR="005C6AFC" w:rsidRDefault="005C6AFC" w:rsidP="005C6AFC">
      <w:pPr>
        <w:widowControl w:val="0"/>
        <w:ind w:firstLine="708"/>
        <w:jc w:val="both"/>
      </w:pPr>
      <w:r>
        <w:t>работниками учреждений, созданных в целях выполнения задач, поставленных перед органами местного самоуправления Златоусто</w:t>
      </w:r>
      <w:r w:rsidR="00A43A3C">
        <w:t>вского городского округа (далее - </w:t>
      </w:r>
      <w:r>
        <w:t xml:space="preserve">работники), работодателя о фактах обращения </w:t>
      </w:r>
      <w:r w:rsidR="00A43A3C">
        <w:br/>
      </w:r>
      <w:r>
        <w:t>к ним каких-либо лиц в целях склонения их к совершению коррупционных правонарушений.</w:t>
      </w:r>
    </w:p>
    <w:p w:rsidR="005C6AFC" w:rsidRDefault="00A43A3C" w:rsidP="005C6AFC">
      <w:pPr>
        <w:widowControl w:val="0"/>
        <w:ind w:firstLine="708"/>
        <w:jc w:val="both"/>
      </w:pPr>
      <w:r>
        <w:t>2. </w:t>
      </w:r>
      <w:r w:rsidR="005C6AFC">
        <w:t xml:space="preserve">Уведомление представителя нанимателя (работодателя) о фактах обращения в целях склонения работника органа местного самоуправления Златоустовского городского округа, отраслевого органа Администрации Златоустовского городского округа, муниципального учреждения </w:t>
      </w:r>
      <w:r w:rsidR="005C6AFC">
        <w:lastRenderedPageBreak/>
        <w:t>Златоусто</w:t>
      </w:r>
      <w:r>
        <w:t>вского городского округа (далее - </w:t>
      </w:r>
      <w:r w:rsidR="005C6AFC">
        <w:t>учреждение),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работника.»</w:t>
      </w:r>
      <w:r>
        <w:t>;</w:t>
      </w:r>
    </w:p>
    <w:p w:rsidR="005C6AFC" w:rsidRDefault="00A43A3C" w:rsidP="005C6AFC">
      <w:pPr>
        <w:widowControl w:val="0"/>
        <w:ind w:firstLine="708"/>
        <w:jc w:val="both"/>
      </w:pPr>
      <w:r>
        <w:t>2) </w:t>
      </w:r>
      <w:r w:rsidR="005C6AFC">
        <w:t>пункт 5 дополнить абзацем 4 следующего содержания:</w:t>
      </w:r>
    </w:p>
    <w:p w:rsidR="005C6AFC" w:rsidRDefault="005C6AFC" w:rsidP="005C6AFC">
      <w:pPr>
        <w:widowControl w:val="0"/>
        <w:ind w:firstLine="708"/>
        <w:jc w:val="both"/>
      </w:pPr>
      <w:r>
        <w:t xml:space="preserve">«Уведомление работником учреждения составляется на имя руководителя учреждения и передается должностному лицу соответствующего учреждения, ответственному за работу по профилактике коррупционных </w:t>
      </w:r>
      <w:r w:rsidR="00A43A3C">
        <w:br/>
      </w:r>
      <w:r>
        <w:t>и иных правонарушений.»;</w:t>
      </w:r>
    </w:p>
    <w:p w:rsidR="005C6AFC" w:rsidRDefault="00A43A3C" w:rsidP="005C6AFC">
      <w:pPr>
        <w:widowControl w:val="0"/>
        <w:ind w:firstLine="708"/>
        <w:jc w:val="both"/>
      </w:pPr>
      <w:r>
        <w:t>3) </w:t>
      </w:r>
      <w:r w:rsidR="005C6AFC">
        <w:t>пункт 12 изложить в следующей редакции:</w:t>
      </w:r>
    </w:p>
    <w:p w:rsidR="005C6AFC" w:rsidRDefault="00A43A3C" w:rsidP="005C6AFC">
      <w:pPr>
        <w:widowControl w:val="0"/>
        <w:ind w:firstLine="708"/>
        <w:jc w:val="both"/>
      </w:pPr>
      <w:r>
        <w:t>«12. </w:t>
      </w:r>
      <w:r w:rsidR="005C6AFC">
        <w:t>В день регистрации Уведомления должностное лицо, ответственное за работу по профилактике коррупционных и иных правонарушений в органах местного самоуправления Златоустовского городского округа, отраслевых органах Администрации Златоустовского городского округа, муниципальных учреждениях, созданных в целях выполнения задач, поставленных перед органами местного самоуправления Златоустовского городского округа обеспечивает передачу зарегистрированного уведомления руководителю учреждения.</w:t>
      </w:r>
    </w:p>
    <w:p w:rsidR="005C6AFC" w:rsidRDefault="005C6AFC" w:rsidP="005C6AFC">
      <w:pPr>
        <w:widowControl w:val="0"/>
        <w:ind w:firstLine="708"/>
        <w:jc w:val="both"/>
      </w:pPr>
      <w:r>
        <w:t>Кроме того, должностное лицо, ответственное за работу по профилактике коррупционных и иных правонарушений в отраслевых органах Администрации Златоустовского городского округа обеспечивает передачу Уведомления руководителя подведомственного муниципального учреждения Главе Златоустовского городского округа.».</w:t>
      </w:r>
    </w:p>
    <w:p w:rsidR="005C6AFC" w:rsidRDefault="00A43A3C" w:rsidP="005A6B9F">
      <w:pPr>
        <w:widowControl w:val="0"/>
        <w:ind w:firstLine="708"/>
        <w:jc w:val="both"/>
      </w:pPr>
      <w:r>
        <w:t>2. </w:t>
      </w:r>
      <w:r w:rsidR="005C6AFC">
        <w:t>Руководителям о</w:t>
      </w:r>
      <w:r>
        <w:t>рганов местного самоуправления «</w:t>
      </w:r>
      <w:r w:rsidR="005C6AFC">
        <w:t xml:space="preserve">Комитет </w:t>
      </w:r>
      <w:r>
        <w:br/>
      </w:r>
      <w:r w:rsidR="005C6AFC">
        <w:t>по управлению имуществом Златоустов</w:t>
      </w:r>
      <w:r>
        <w:t>ского городского округа»</w:t>
      </w:r>
      <w:r w:rsidR="005C6AFC">
        <w:t xml:space="preserve"> Туровой Е.В., Управления социальной защиты населения Златоустовского городского округа Брейкиной И.Б., Финансового управления Златоустовск</w:t>
      </w:r>
      <w:r>
        <w:t>ого городского округа Царьковой </w:t>
      </w:r>
      <w:r w:rsidR="005C6AFC">
        <w:t>Т.Н., начальникам отраслевых органов Администрации Златоустовского городского о</w:t>
      </w:r>
      <w:r>
        <w:t>круга Соловьевой О.Ю., Туманову А.Г., Накорякову П.М., Самохвалову </w:t>
      </w:r>
      <w:r w:rsidR="005C6AFC">
        <w:t>А.Ю., исполняющей обязанности руководителя муници</w:t>
      </w:r>
      <w:r>
        <w:t>пального бюджетного учреждения «Капитальное строительство» Савочкиной </w:t>
      </w:r>
      <w:r w:rsidR="005C6AFC">
        <w:t>Н.Ю., начальнику муниципального бюджетного учреждени</w:t>
      </w:r>
      <w:r>
        <w:t>я «</w:t>
      </w:r>
      <w:r w:rsidR="005C6AFC">
        <w:t>Управл</w:t>
      </w:r>
      <w:r>
        <w:t>ение капитального строительства» Савочкиной </w:t>
      </w:r>
      <w:r w:rsidR="005C6AFC">
        <w:t>Н.Ю., директорам муници</w:t>
      </w:r>
      <w:r>
        <w:t>пального бюджетного учреждения «</w:t>
      </w:r>
      <w:r w:rsidR="005C6AFC">
        <w:t>Архив Зл</w:t>
      </w:r>
      <w:r>
        <w:t>атоустовского городского округа»</w:t>
      </w:r>
      <w:r w:rsidR="005C6AFC">
        <w:t>Фаизову З.Г., муниц</w:t>
      </w:r>
      <w:r>
        <w:t>ипального казенного уч</w:t>
      </w:r>
      <w:r w:rsidR="003D75CB">
        <w:t>реждения «Гражданская защита Златоустовского городского округа</w:t>
      </w:r>
      <w:r>
        <w:t>»</w:t>
      </w:r>
      <w:r w:rsidR="005A6B9F">
        <w:t>Лысуневскому </w:t>
      </w:r>
      <w:r w:rsidR="005C6AFC">
        <w:t>Д.В., муниципального автоно</w:t>
      </w:r>
      <w:r w:rsidR="003D75CB">
        <w:t>много учреждения «</w:t>
      </w:r>
      <w:r w:rsidR="005C6AFC">
        <w:t>Центр развития туризма Зла</w:t>
      </w:r>
      <w:r w:rsidR="003D75CB">
        <w:t>тоустовского городского округа»Шведкиной </w:t>
      </w:r>
      <w:r w:rsidR="005C6AFC">
        <w:t>Д.И., руководителям муниц</w:t>
      </w:r>
      <w:r w:rsidR="003D75CB">
        <w:t>ипального казенного учреждения «</w:t>
      </w:r>
      <w:r w:rsidR="005C6AFC">
        <w:t>Центр хозяйственного о</w:t>
      </w:r>
      <w:r w:rsidR="003D75CB">
        <w:t xml:space="preserve">беспечения </w:t>
      </w:r>
      <w:r w:rsidR="005A6B9F">
        <w:br/>
      </w:r>
      <w:r w:rsidR="003D75CB">
        <w:t>и цифрового развития» Тиунову </w:t>
      </w:r>
      <w:r w:rsidR="005C6AFC">
        <w:t>Я.Л., муниципального казенного учреждения «Управление лесами Златоустовско</w:t>
      </w:r>
      <w:r w:rsidR="003D75CB">
        <w:t>го городского округа» Кононовой </w:t>
      </w:r>
      <w:r w:rsidR="005C6AFC">
        <w:t xml:space="preserve">Н.Ю. </w:t>
      </w:r>
      <w:r w:rsidR="005A6B9F">
        <w:br/>
      </w:r>
      <w:r w:rsidR="005C6AFC">
        <w:t>в срок до 15 мая 2024 года:</w:t>
      </w:r>
    </w:p>
    <w:p w:rsidR="005C6AFC" w:rsidRDefault="003D75CB" w:rsidP="003D75CB">
      <w:pPr>
        <w:widowControl w:val="0"/>
        <w:ind w:firstLine="708"/>
        <w:jc w:val="both"/>
      </w:pPr>
      <w:r>
        <w:t>1) </w:t>
      </w:r>
      <w:r w:rsidR="005C6AFC">
        <w:t xml:space="preserve">ознакомить работников возглавляемых (подведомственных) учреждений с настоящим постановлением и обеспечить неукоснительное </w:t>
      </w:r>
      <w:r>
        <w:br/>
      </w:r>
      <w:r w:rsidR="005C6AFC">
        <w:t>его исполнение;</w:t>
      </w:r>
    </w:p>
    <w:p w:rsidR="005C6AFC" w:rsidRDefault="003D75CB" w:rsidP="005C6AFC">
      <w:pPr>
        <w:widowControl w:val="0"/>
        <w:ind w:firstLine="708"/>
        <w:jc w:val="both"/>
      </w:pPr>
      <w:r>
        <w:lastRenderedPageBreak/>
        <w:t>2) </w:t>
      </w:r>
      <w:r w:rsidR="005C6AFC">
        <w:t>назначить должностных лиц, ответственных за работу по профилактике коррупционных и иных правонарушений в возглавляемом муниципальном учреждении.</w:t>
      </w:r>
    </w:p>
    <w:p w:rsidR="005C6AFC" w:rsidRDefault="005A6B9F" w:rsidP="005C6AFC">
      <w:pPr>
        <w:widowControl w:val="0"/>
        <w:ind w:firstLine="708"/>
        <w:jc w:val="both"/>
      </w:pPr>
      <w:r>
        <w:t>3. </w:t>
      </w:r>
      <w:r w:rsidR="005C6AFC">
        <w:t>Руководителю Управления социальной защиты населения Златоустовского городского округа Брейкиной И.Б., начальникам отраслевых органов Администрации Златоустовского городского округа Соловьевой О.Ю., Туманову А.Г., Нак</w:t>
      </w:r>
      <w:r>
        <w:t xml:space="preserve">орякову П.М., Самохвалову А.Ю. </w:t>
      </w:r>
      <w:r w:rsidR="005C6AFC">
        <w:t xml:space="preserve">в срок до 15 мая 2024 года назначить должностных лиц, ответственных за работу по профилактике коррупционных и иных правонарушений в подведомственных </w:t>
      </w:r>
      <w:r>
        <w:br/>
      </w:r>
      <w:r w:rsidR="005C6AFC">
        <w:t>муниципальных учреждениях.</w:t>
      </w:r>
    </w:p>
    <w:p w:rsidR="005C6AFC" w:rsidRDefault="005A6B9F" w:rsidP="005C6AFC">
      <w:pPr>
        <w:widowControl w:val="0"/>
        <w:ind w:firstLine="708"/>
        <w:jc w:val="both"/>
      </w:pPr>
      <w:r>
        <w:t>4. Пресс-</w:t>
      </w:r>
      <w:r w:rsidR="005C6AFC">
        <w:t>службе Администрации Златоустовского го</w:t>
      </w:r>
      <w:r>
        <w:t>родского округа (Валова И.А.</w:t>
      </w:r>
      <w:r w:rsidR="005C6AFC">
        <w:t>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5A6B9F" w:rsidP="005C6AFC">
      <w:pPr>
        <w:widowControl w:val="0"/>
        <w:ind w:firstLine="708"/>
        <w:jc w:val="both"/>
      </w:pPr>
      <w:r>
        <w:t>5. </w:t>
      </w:r>
      <w:r w:rsidR="005C6AFC">
        <w:t xml:space="preserve">Организацию выполнения настоящего постановления возложить </w:t>
      </w:r>
      <w:r>
        <w:br/>
      </w:r>
      <w:r w:rsidR="005C6AFC"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5C6AFC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347398" w:rsidP="005C6AFC">
            <w:pPr>
              <w:ind w:right="-284"/>
            </w:pPr>
            <w:r>
              <w:t xml:space="preserve">Глава </w:t>
            </w:r>
            <w:r w:rsidR="005C6AF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43A3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A43A3C">
            <w:pPr>
              <w:jc w:val="right"/>
            </w:pPr>
            <w:r>
              <w:t>М.Б. Пекарский</w:t>
            </w:r>
          </w:p>
        </w:tc>
      </w:tr>
    </w:tbl>
    <w:p w:rsidR="005C6AFC" w:rsidRDefault="005C6AFC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5A6B9F" w:rsidRDefault="005A6B9F" w:rsidP="004574CC"/>
    <w:p w:rsidR="00FE2744" w:rsidRDefault="00FE2744" w:rsidP="004574CC"/>
    <w:p w:rsidR="005A6B9F" w:rsidRDefault="005A6B9F" w:rsidP="004574CC"/>
    <w:p w:rsidR="005A6B9F" w:rsidRDefault="005A6B9F" w:rsidP="004574CC"/>
    <w:p w:rsidR="00C106F4" w:rsidRDefault="00C106F4" w:rsidP="004574CC"/>
    <w:p w:rsidR="005A6B9F" w:rsidRDefault="005A6B9F" w:rsidP="004574CC"/>
    <w:p w:rsidR="00CF1C4C" w:rsidRPr="005C6AFC" w:rsidRDefault="005C6AFC" w:rsidP="005C6AFC">
      <w:pPr>
        <w:jc w:val="both"/>
        <w:rPr>
          <w:sz w:val="24"/>
          <w:szCs w:val="24"/>
        </w:rPr>
      </w:pPr>
      <w:r w:rsidRPr="005C6AFC">
        <w:rPr>
          <w:sz w:val="24"/>
          <w:szCs w:val="24"/>
        </w:rPr>
        <w:t xml:space="preserve">Рассылка: </w:t>
      </w:r>
      <w:r w:rsidR="00C106F4">
        <w:rPr>
          <w:sz w:val="24"/>
          <w:szCs w:val="24"/>
        </w:rPr>
        <w:t>ОМСиК, пресс-служба, Сюзев А.Ю., Турова Е.В., Брейкина И.Б., Царькова Т.Н., Соловьева О.Ю., Туманов</w:t>
      </w:r>
      <w:r w:rsidR="00C106F4" w:rsidRPr="00C106F4">
        <w:rPr>
          <w:sz w:val="24"/>
          <w:szCs w:val="24"/>
        </w:rPr>
        <w:t xml:space="preserve"> А.Г., Нак</w:t>
      </w:r>
      <w:r w:rsidR="00C106F4">
        <w:rPr>
          <w:sz w:val="24"/>
          <w:szCs w:val="24"/>
        </w:rPr>
        <w:t xml:space="preserve">оряков П.М., Самохвалов А.Ю., Савочкина Н.Ю., </w:t>
      </w:r>
      <w:r w:rsidR="00C106F4">
        <w:rPr>
          <w:sz w:val="24"/>
          <w:szCs w:val="24"/>
        </w:rPr>
        <w:br/>
        <w:t>Фаизов З.Г., Лысуневский Д.В., Шведкина Д.И., Тиунов Я.Л., Кононова</w:t>
      </w:r>
      <w:r w:rsidR="005115AF">
        <w:rPr>
          <w:sz w:val="24"/>
          <w:szCs w:val="24"/>
        </w:rPr>
        <w:t xml:space="preserve"> Н.Ю., КСП, прокуратура</w:t>
      </w:r>
    </w:p>
    <w:sectPr w:rsidR="00CF1C4C" w:rsidRPr="005C6AF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58" w:rsidRDefault="002E4D58">
      <w:r>
        <w:separator/>
      </w:r>
    </w:p>
  </w:endnote>
  <w:endnote w:type="continuationSeparator" w:id="1">
    <w:p w:rsidR="002E4D58" w:rsidRDefault="002E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Pr="00FF7009" w:rsidRDefault="00A43A3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Вр-359607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Pr="00C9340B" w:rsidRDefault="00A43A3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Вр-359607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58" w:rsidRDefault="002E4D58">
      <w:r>
        <w:separator/>
      </w:r>
    </w:p>
  </w:footnote>
  <w:footnote w:type="continuationSeparator" w:id="1">
    <w:p w:rsidR="002E4D58" w:rsidRDefault="002E4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Pr="00FF7009" w:rsidRDefault="00EB21E3" w:rsidP="00FF7009">
    <w:pPr>
      <w:pStyle w:val="a5"/>
      <w:jc w:val="center"/>
      <w:rPr>
        <w:lang w:val="en-US"/>
      </w:rPr>
    </w:pPr>
    <w:r>
      <w:fldChar w:fldCharType="begin"/>
    </w:r>
    <w:r w:rsidR="00A43A3C">
      <w:instrText xml:space="preserve"> PAGE   \* MERGEFORMAT </w:instrText>
    </w:r>
    <w:r>
      <w:fldChar w:fldCharType="separate"/>
    </w:r>
    <w:r w:rsidR="00EB79A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A3C" w:rsidRPr="00E045E8" w:rsidRDefault="00A43A3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773F3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437F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4D5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3F47"/>
    <w:rsid w:val="00384F5B"/>
    <w:rsid w:val="00390123"/>
    <w:rsid w:val="00392A60"/>
    <w:rsid w:val="00392DA7"/>
    <w:rsid w:val="003A5C1B"/>
    <w:rsid w:val="003A79F7"/>
    <w:rsid w:val="003B66B4"/>
    <w:rsid w:val="003C1DC8"/>
    <w:rsid w:val="003D529A"/>
    <w:rsid w:val="003D75CB"/>
    <w:rsid w:val="003E30CF"/>
    <w:rsid w:val="003F2713"/>
    <w:rsid w:val="00406295"/>
    <w:rsid w:val="004122F1"/>
    <w:rsid w:val="004140E6"/>
    <w:rsid w:val="00422639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15AF"/>
    <w:rsid w:val="00513E4F"/>
    <w:rsid w:val="0052371C"/>
    <w:rsid w:val="00527A5C"/>
    <w:rsid w:val="00562567"/>
    <w:rsid w:val="0056766F"/>
    <w:rsid w:val="0057186F"/>
    <w:rsid w:val="00587709"/>
    <w:rsid w:val="005A6B9F"/>
    <w:rsid w:val="005C6AF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65F9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586D"/>
    <w:rsid w:val="00A43A3C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0B95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6F4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21E3"/>
    <w:rsid w:val="00EB5D64"/>
    <w:rsid w:val="00EB79A5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274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2024-05-15T08:36:00Z</dcterms:created>
  <dcterms:modified xsi:type="dcterms:W3CDTF">2024-05-15T08:36:00Z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