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2203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35545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233"/>
        <w:gridCol w:w="425"/>
        <w:gridCol w:w="4303"/>
        <w:gridCol w:w="284"/>
      </w:tblGrid>
      <w:tr w:rsidR="009416DA" w:rsidRPr="00E335AA" w:rsidTr="009B07B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2203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C22036" w:rsidP="00E4076D">
            <w:fldSimple w:instr=" DOCPROPERTY  Рег.№  \* MERGEFORMAT ">
              <w:bookmarkStart w:id="0" w:name="_GoBack"/>
              <w:r w:rsidR="009416DA" w:rsidRPr="009416DA">
                <w:t>259</w:t>
              </w:r>
              <w:bookmarkEnd w:id="0"/>
              <w:r w:rsidR="009416DA" w:rsidRPr="009416DA">
                <w:t>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B07B2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B07B2">
        <w:trPr>
          <w:gridAfter w:val="1"/>
          <w:wAfter w:w="284" w:type="dxa"/>
          <w:trHeight w:val="446"/>
        </w:trPr>
        <w:tc>
          <w:tcPr>
            <w:tcW w:w="3544" w:type="dxa"/>
            <w:gridSpan w:val="3"/>
          </w:tcPr>
          <w:p w:rsidR="00D96BA1" w:rsidRDefault="00D96BA1" w:rsidP="00CC4BA6">
            <w:pPr>
              <w:ind w:left="-170"/>
              <w:jc w:val="both"/>
            </w:pPr>
            <w:r>
              <w:t xml:space="preserve">О начале отопительного периода 2024-2025 годов </w:t>
            </w:r>
            <w:r w:rsidR="00CC4BA6">
              <w:br/>
            </w:r>
            <w:r>
              <w:t>в Златоустовском городском округе</w:t>
            </w:r>
          </w:p>
        </w:tc>
        <w:tc>
          <w:tcPr>
            <w:tcW w:w="4728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C4BA6" w:rsidRDefault="00CC4BA6" w:rsidP="009416DA">
      <w:pPr>
        <w:widowControl w:val="0"/>
        <w:ind w:firstLine="709"/>
        <w:jc w:val="both"/>
      </w:pPr>
    </w:p>
    <w:p w:rsidR="009416DA" w:rsidRPr="00E4076D" w:rsidRDefault="00CC4BA6" w:rsidP="009416DA">
      <w:pPr>
        <w:widowControl w:val="0"/>
        <w:ind w:firstLine="709"/>
        <w:jc w:val="both"/>
      </w:pPr>
      <w:r w:rsidRPr="00CC4BA6">
        <w:t>В связи с прогнозируемым снижением температуры наружно</w:t>
      </w:r>
      <w:r>
        <w:t xml:space="preserve">го воздуха, </w:t>
      </w:r>
      <w:r>
        <w:br/>
        <w:t>в соответствии с П</w:t>
      </w:r>
      <w:r w:rsidRPr="00CC4BA6">
        <w:t>остановлением Правительства Росс</w:t>
      </w:r>
      <w:r>
        <w:t xml:space="preserve">ийской Федерации </w:t>
      </w:r>
      <w:r>
        <w:br/>
        <w:t>от 06.05.2011 г. № </w:t>
      </w:r>
      <w:r w:rsidRPr="00CC4BA6">
        <w:t>354 «О предоставлении коммунальных услуг с</w:t>
      </w:r>
      <w:r>
        <w:t xml:space="preserve">обственникам </w:t>
      </w:r>
      <w:r w:rsidRPr="00CC4BA6">
        <w:t>и пользователям помещений в много</w:t>
      </w:r>
      <w:r w:rsidR="00613061">
        <w:t>квартирных домах и жилых домов»,</w:t>
      </w:r>
    </w:p>
    <w:p w:rsidR="00CC4BA6" w:rsidRDefault="00F12903" w:rsidP="00CC4BA6">
      <w:pPr>
        <w:widowControl w:val="0"/>
        <w:ind w:firstLine="708"/>
        <w:jc w:val="both"/>
      </w:pPr>
      <w:r>
        <w:t>ПОСТАНОВЛЯЮ:</w:t>
      </w:r>
    </w:p>
    <w:p w:rsidR="00CC4BA6" w:rsidRDefault="00CC4BA6" w:rsidP="00CC4BA6">
      <w:pPr>
        <w:widowControl w:val="0"/>
        <w:ind w:firstLine="708"/>
        <w:jc w:val="both"/>
      </w:pPr>
      <w:r>
        <w:t xml:space="preserve">1. Начать отопительный период 2024-2025 годов в Златоустовском городском округе с 23 сентября 2024 года. </w:t>
      </w:r>
    </w:p>
    <w:p w:rsidR="00CC4BA6" w:rsidRDefault="00CC4BA6" w:rsidP="00CC4BA6">
      <w:pPr>
        <w:widowControl w:val="0"/>
        <w:ind w:firstLine="709"/>
        <w:jc w:val="both"/>
      </w:pPr>
      <w:r>
        <w:t xml:space="preserve">2. Организациям, независимо от форм собственности и организационно-правовой формы, эксплуатирующим и (или) управляющим, </w:t>
      </w:r>
      <w:r>
        <w:br/>
        <w:t xml:space="preserve">и (или) обслуживающим системы коммунальной инфраструктуры, жилищный фонд и учреждения социальной сферы Златоустовского городского округа обеспечить проведение необходимых организационных и технических мероприятий по переходу системы теплоснабжения указанных объектов </w:t>
      </w:r>
      <w:r>
        <w:br/>
        <w:t>на зимний режим работы.</w:t>
      </w:r>
    </w:p>
    <w:p w:rsidR="00CC4BA6" w:rsidRDefault="00CC4BA6" w:rsidP="00CC4BA6">
      <w:pPr>
        <w:widowControl w:val="0"/>
        <w:ind w:firstLine="709"/>
        <w:jc w:val="both"/>
      </w:pPr>
      <w:r>
        <w:t xml:space="preserve">3. Директору филиала открытого акционерного общества «Газпром газораспределение Челябинск» в г. Златоусте Егорову И.О. обеспечить подачу газа на теплоэлектроцентраль, котельные, поставляющие тепловую энергию </w:t>
      </w:r>
      <w:r>
        <w:br/>
        <w:t>на жилищный фонд, учреждения социальной сферы и прочие объекты.</w:t>
      </w:r>
    </w:p>
    <w:p w:rsidR="00CC4BA6" w:rsidRDefault="00CC4BA6" w:rsidP="00CC4BA6">
      <w:pPr>
        <w:widowControl w:val="0"/>
        <w:ind w:firstLine="709"/>
        <w:jc w:val="both"/>
      </w:pPr>
      <w:r>
        <w:t>4. Возложить персональную ответственность за проведение отопительного периода 2024-2025 годов на руководителей теплоснабжающих, обслуживающих организаций, учреждений социальной сферы.</w:t>
      </w:r>
    </w:p>
    <w:p w:rsidR="00CC4BA6" w:rsidRDefault="00CC4BA6" w:rsidP="00CC4BA6">
      <w:pPr>
        <w:widowControl w:val="0"/>
        <w:ind w:firstLine="709"/>
        <w:jc w:val="both"/>
      </w:pPr>
      <w:r>
        <w:t>5. </w:t>
      </w:r>
      <w:r w:rsidRPr="00CC4BA6">
        <w:t>Пресс-службе Администрации Златоустовского городского округа (Валова И.А.) опубликовать наст</w:t>
      </w:r>
      <w:r>
        <w:t>оящее постановл</w:t>
      </w:r>
      <w:r w:rsidRPr="00CC4BA6">
        <w:t>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CC4BA6" w:rsidP="00CC4BA6">
      <w:pPr>
        <w:widowControl w:val="0"/>
        <w:ind w:firstLine="709"/>
        <w:jc w:val="both"/>
      </w:pPr>
      <w:r>
        <w:lastRenderedPageBreak/>
        <w:t xml:space="preserve">6.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CC4BA6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CC4BA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CC4BA6">
            <w:r>
              <w:t>О.Ю. Решетников</w:t>
            </w:r>
          </w:p>
        </w:tc>
      </w:tr>
    </w:tbl>
    <w:p w:rsidR="00CF1C4C" w:rsidRDefault="00CF1C4C" w:rsidP="004574CC"/>
    <w:p w:rsidR="00CC4BA6" w:rsidRDefault="00CC4BA6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664134" w:rsidRDefault="00664134" w:rsidP="004574CC"/>
    <w:p w:rsidR="00CC4BA6" w:rsidRPr="001500A9" w:rsidRDefault="00CC4BA6" w:rsidP="00CC4BA6">
      <w:pPr>
        <w:jc w:val="both"/>
        <w:rPr>
          <w:sz w:val="24"/>
          <w:szCs w:val="24"/>
        </w:rPr>
      </w:pPr>
      <w:r w:rsidRPr="001500A9">
        <w:rPr>
          <w:sz w:val="24"/>
          <w:szCs w:val="24"/>
        </w:rPr>
        <w:t xml:space="preserve">Рассылка: Бобылев В.В., МКУ ЗГО «УЖКХ», ООО «Теплоэнергетик», ООО «Тепловик», </w:t>
      </w:r>
      <w:r w:rsidRPr="001500A9">
        <w:rPr>
          <w:sz w:val="24"/>
          <w:szCs w:val="24"/>
        </w:rPr>
        <w:br/>
        <w:t xml:space="preserve">АО «Златмаш», ЗТУ ЮУ ДТВ - филиал ОАО «РЖД», ООО «НПП «ТехМикс», </w:t>
      </w:r>
      <w:r w:rsidR="001500A9">
        <w:rPr>
          <w:sz w:val="24"/>
          <w:szCs w:val="24"/>
        </w:rPr>
        <w:br/>
      </w:r>
      <w:r w:rsidRPr="001500A9">
        <w:rPr>
          <w:sz w:val="24"/>
          <w:szCs w:val="24"/>
        </w:rPr>
        <w:t>ООО «УралТехСервис», ООО «ЭНКОМ», АО «Челябоблкоммунэнерго», ООО «Златсеть», МУП «Коммунальные сети» ЗГО, филиал АО «Газпром газораспределение Челябинск», ООО «Златоустовский Водоканал», МУП «Водоснабжение ЗГО», МКУ УОиМП ЗГО, УФКиС, УК</w:t>
      </w:r>
      <w:r w:rsidR="0077159A">
        <w:rPr>
          <w:sz w:val="24"/>
          <w:szCs w:val="24"/>
        </w:rPr>
        <w:t>, УСЗН</w:t>
      </w:r>
      <w:r w:rsidRPr="001500A9">
        <w:rPr>
          <w:sz w:val="24"/>
          <w:szCs w:val="24"/>
        </w:rPr>
        <w:t>, Г</w:t>
      </w:r>
      <w:r w:rsidR="0077159A">
        <w:rPr>
          <w:sz w:val="24"/>
          <w:szCs w:val="24"/>
        </w:rPr>
        <w:t>БУЗ «ГБ г. </w:t>
      </w:r>
      <w:r w:rsidRPr="001500A9">
        <w:rPr>
          <w:sz w:val="24"/>
          <w:szCs w:val="24"/>
        </w:rPr>
        <w:t>Златоуст», ГБУЗ «ГДБ</w:t>
      </w:r>
      <w:r w:rsidR="0077159A">
        <w:rPr>
          <w:sz w:val="24"/>
          <w:szCs w:val="24"/>
        </w:rPr>
        <w:t xml:space="preserve"> г. </w:t>
      </w:r>
      <w:r w:rsidRPr="001500A9">
        <w:rPr>
          <w:sz w:val="24"/>
          <w:szCs w:val="24"/>
        </w:rPr>
        <w:t>Златоуст», МКУ «ГЗ ЗГО», прокуратура, пресс-служба, ООВ, ПУ</w:t>
      </w:r>
    </w:p>
    <w:sectPr w:rsidR="00CC4BA6" w:rsidRPr="001500A9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050" w:rsidRDefault="00EB4050">
      <w:r>
        <w:separator/>
      </w:r>
    </w:p>
  </w:endnote>
  <w:endnote w:type="continuationSeparator" w:id="1">
    <w:p w:rsidR="00EB4050" w:rsidRDefault="00EB4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Вр-385259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Вр-385259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050" w:rsidRDefault="00EB4050">
      <w:r>
        <w:separator/>
      </w:r>
    </w:p>
  </w:footnote>
  <w:footnote w:type="continuationSeparator" w:id="1">
    <w:p w:rsidR="00EB4050" w:rsidRDefault="00EB4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2203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D19F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00A9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3061"/>
    <w:rsid w:val="00616E34"/>
    <w:rsid w:val="00621AA5"/>
    <w:rsid w:val="00635691"/>
    <w:rsid w:val="0065508B"/>
    <w:rsid w:val="006562B9"/>
    <w:rsid w:val="006571E1"/>
    <w:rsid w:val="00662C99"/>
    <w:rsid w:val="0066413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159A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19FC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07B2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2036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BA6"/>
    <w:rsid w:val="00CC4E26"/>
    <w:rsid w:val="00CC7BDA"/>
    <w:rsid w:val="00CD25AA"/>
    <w:rsid w:val="00CF1C4C"/>
    <w:rsid w:val="00CF7C54"/>
    <w:rsid w:val="00D21280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4050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2024-09-20T11:38:00Z</dcterms:created>
  <dcterms:modified xsi:type="dcterms:W3CDTF">2024-09-20T11:38:00Z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