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B63A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21.15pt;margin-top:5.4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919444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6B4CD1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425"/>
        <w:gridCol w:w="3454"/>
        <w:gridCol w:w="425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B63A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6B63AA" w:rsidP="00E4076D">
            <w:fldSimple w:instr=" DOCPROPERTY  Рег.№  \* MERGEFORMAT ">
              <w:r w:rsidR="009416DA" w:rsidRPr="009416DA">
                <w:t>335-П/АДМ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4B756D">
        <w:trPr>
          <w:gridAfter w:val="1"/>
          <w:wAfter w:w="42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4B756D">
            <w:pPr>
              <w:jc w:val="both"/>
            </w:pPr>
            <w:r>
              <w:t xml:space="preserve">О внесении изменений </w:t>
            </w:r>
            <w:r w:rsidR="004B756D">
              <w:br/>
            </w:r>
            <w:r>
              <w:t xml:space="preserve">в постановление Администрации Златоустовского </w:t>
            </w:r>
            <w:r w:rsidR="004B756D">
              <w:t xml:space="preserve">городского округа от 05.08.2025 г. </w:t>
            </w:r>
            <w:r w:rsidR="004B756D">
              <w:br/>
              <w:t>№ </w:t>
            </w:r>
            <w:r>
              <w:t>280-П/АДМ «Об утверждении положения «О порядке списания муниципального имущества Муниципального образования Златоустовский городской округ и затрат по объектам незавершенного строительства</w:t>
            </w:r>
            <w:r w:rsidR="00D23A41">
              <w:t>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Pr="006B4CD1" w:rsidRDefault="009416DA" w:rsidP="009416DA">
      <w:pPr>
        <w:widowControl w:val="0"/>
        <w:ind w:firstLine="709"/>
        <w:jc w:val="both"/>
      </w:pPr>
    </w:p>
    <w:p w:rsidR="006B4CD1" w:rsidRDefault="006B4CD1" w:rsidP="009416DA">
      <w:pPr>
        <w:widowControl w:val="0"/>
        <w:ind w:firstLine="709"/>
        <w:jc w:val="both"/>
      </w:pPr>
    </w:p>
    <w:p w:rsidR="009416DA" w:rsidRPr="00E4076D" w:rsidRDefault="004B756D" w:rsidP="009416DA">
      <w:pPr>
        <w:widowControl w:val="0"/>
        <w:ind w:firstLine="709"/>
        <w:jc w:val="both"/>
      </w:pPr>
      <w:r w:rsidRPr="004B756D">
        <w:t xml:space="preserve">В целях приведения постановления Администрации Златоустовского городского округа от 05.08.2025 г. № 280-П/АДМ «Об утверждении Положения «О порядке списания муниципального имущества Муниципального образования Златоустовский городской округ и затрат по объектам незавершенного строительства» в соответствие </w:t>
      </w:r>
      <w:r w:rsidR="00CB4B3C">
        <w:t>с действующим законодательством,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B756D" w:rsidRDefault="00CB4B3C" w:rsidP="004B756D">
      <w:pPr>
        <w:widowControl w:val="0"/>
        <w:ind w:firstLine="709"/>
        <w:jc w:val="both"/>
      </w:pPr>
      <w:r>
        <w:t>1. </w:t>
      </w:r>
      <w:r w:rsidR="004B756D">
        <w:t>В приложение 1 к постановлению Администрации Златоустовского городского округа от 05.08.2025 г. № 280-П/АДМ «Об утверждении Положения «О порядке списания муниципального имущества Муниципального образования Златоустовский городской округ и затрат по объектам незавершенного строительства» внести следующие изменения:</w:t>
      </w:r>
    </w:p>
    <w:p w:rsidR="004B756D" w:rsidRDefault="004B756D" w:rsidP="004B756D">
      <w:pPr>
        <w:widowControl w:val="0"/>
        <w:ind w:firstLine="709"/>
        <w:jc w:val="both"/>
      </w:pPr>
      <w:r>
        <w:t>1) раздел VI изложить в следующей редакции:</w:t>
      </w:r>
    </w:p>
    <w:p w:rsidR="004B756D" w:rsidRDefault="004B756D" w:rsidP="004B756D">
      <w:pPr>
        <w:widowControl w:val="0"/>
        <w:ind w:firstLine="709"/>
        <w:jc w:val="both"/>
      </w:pPr>
      <w:r>
        <w:t>«VI. Порядок распоряжения материалами, оставшимися после проведения ремонтных работ (реконструкции) муниципальных объектов.</w:t>
      </w:r>
    </w:p>
    <w:p w:rsidR="004B756D" w:rsidRDefault="004B756D" w:rsidP="004B756D">
      <w:pPr>
        <w:widowControl w:val="0"/>
        <w:ind w:firstLine="709"/>
        <w:jc w:val="both"/>
      </w:pPr>
      <w:r>
        <w:t>28</w:t>
      </w:r>
      <w:r w:rsidR="00CB4B3C">
        <w:t>. </w:t>
      </w:r>
      <w:r>
        <w:t>В случае высвобождения материалов после проведения ремонтных работ (реконструкции) в отношении муниципального имущества Пользователь имущества обязан:</w:t>
      </w:r>
    </w:p>
    <w:p w:rsidR="004B756D" w:rsidRDefault="00CB4B3C" w:rsidP="004B756D">
      <w:pPr>
        <w:widowControl w:val="0"/>
        <w:ind w:firstLine="709"/>
        <w:jc w:val="both"/>
      </w:pPr>
      <w:r>
        <w:lastRenderedPageBreak/>
        <w:t>1) </w:t>
      </w:r>
      <w:r w:rsidR="004B756D">
        <w:t>оформить акт комиссионного обследования в отношении материалов, высвободившихся из эксплуатационного процесса, с указанием следующих характеристик: объем, вес, протяженность, материал изготовления и иные характеристики;</w:t>
      </w:r>
    </w:p>
    <w:p w:rsidR="004B756D" w:rsidRDefault="00CB4B3C" w:rsidP="004B756D">
      <w:pPr>
        <w:widowControl w:val="0"/>
        <w:ind w:firstLine="709"/>
        <w:jc w:val="both"/>
      </w:pPr>
      <w:r>
        <w:t>2) </w:t>
      </w:r>
      <w:r w:rsidR="004B756D">
        <w:t>организовать работу по ликвидации имущества (сдаче в металлолом, уничтожении);</w:t>
      </w:r>
    </w:p>
    <w:p w:rsidR="004B756D" w:rsidRDefault="00CB4B3C" w:rsidP="004B756D">
      <w:pPr>
        <w:widowControl w:val="0"/>
        <w:ind w:firstLine="709"/>
        <w:jc w:val="both"/>
      </w:pPr>
      <w:r>
        <w:t>3) </w:t>
      </w:r>
      <w:r w:rsidR="004B756D">
        <w:t xml:space="preserve">перечислить денежные средства в местный бюджет от сдачи имущества в лом, за исключением затрат на организацию работ по сдаче </w:t>
      </w:r>
      <w:r>
        <w:br/>
      </w:r>
      <w:r w:rsidR="004B756D">
        <w:t>в металлолом, подтвержденных калькуляцией (за исключением случаев, когда работы произведены муниципальными унитарными предприятиями);</w:t>
      </w:r>
    </w:p>
    <w:p w:rsidR="004B756D" w:rsidRDefault="004B756D" w:rsidP="004B756D">
      <w:pPr>
        <w:widowControl w:val="0"/>
        <w:ind w:firstLine="709"/>
        <w:jc w:val="both"/>
      </w:pPr>
      <w:r>
        <w:t>4) предоставить в Комитет следующие документы:</w:t>
      </w:r>
    </w:p>
    <w:p w:rsidR="004B756D" w:rsidRDefault="004B756D" w:rsidP="004B756D">
      <w:pPr>
        <w:widowControl w:val="0"/>
        <w:ind w:firstLine="709"/>
        <w:jc w:val="both"/>
      </w:pPr>
      <w:r>
        <w:t>- акт комиссионного обследования;</w:t>
      </w:r>
    </w:p>
    <w:p w:rsidR="004B756D" w:rsidRDefault="004B756D" w:rsidP="004B756D">
      <w:pPr>
        <w:widowControl w:val="0"/>
        <w:ind w:firstLine="709"/>
        <w:jc w:val="both"/>
      </w:pPr>
      <w:r>
        <w:t>- о ликвидации имущества (сдаче в металлолом, уничтожении);</w:t>
      </w:r>
    </w:p>
    <w:p w:rsidR="004B756D" w:rsidRDefault="004B756D" w:rsidP="004B756D">
      <w:pPr>
        <w:widowControl w:val="0"/>
        <w:ind w:firstLine="709"/>
        <w:jc w:val="both"/>
      </w:pPr>
      <w:r>
        <w:t>- о перечислении денежных средств в местный бюджет.</w:t>
      </w:r>
    </w:p>
    <w:p w:rsidR="004B756D" w:rsidRDefault="00CB4B3C" w:rsidP="004B756D">
      <w:pPr>
        <w:widowControl w:val="0"/>
        <w:ind w:firstLine="709"/>
        <w:jc w:val="both"/>
      </w:pPr>
      <w:r>
        <w:t>29. </w:t>
      </w:r>
      <w:r w:rsidR="004B756D">
        <w:t xml:space="preserve">При наличии необходимости использования материалов для решения вопросов местного значения, данные материалы могут быть закреплены </w:t>
      </w:r>
      <w:r>
        <w:br/>
      </w:r>
      <w:r w:rsidR="004B756D">
        <w:t>за муниципальными предприятиями и учреждениями на праве оперативного управления или хозяйственного ведения и переданы заказчиком по акту приема-передачи.</w:t>
      </w:r>
    </w:p>
    <w:p w:rsidR="004B756D" w:rsidRDefault="00CB4B3C" w:rsidP="004B756D">
      <w:pPr>
        <w:widowControl w:val="0"/>
        <w:ind w:firstLine="709"/>
        <w:jc w:val="both"/>
      </w:pPr>
      <w:r>
        <w:t>30. </w:t>
      </w:r>
      <w:r w:rsidR="004B756D">
        <w:t xml:space="preserve">В случае, если заказчиком ремонтных работ (реконструкции) </w:t>
      </w:r>
      <w:r>
        <w:br/>
      </w:r>
      <w:r w:rsidR="004B756D">
        <w:t>в отношении муниципального имущества выступает лицо, не являющееся Пользователем указанного имущества, обязанность по выполнению действий, указанных в пункте 28 настоящего Положения, возлагается на Заказчика соответствующих работ.»</w:t>
      </w:r>
      <w:r w:rsidR="00555783">
        <w:t>;</w:t>
      </w:r>
      <w:bookmarkStart w:id="0" w:name="_GoBack"/>
      <w:bookmarkEnd w:id="0"/>
    </w:p>
    <w:p w:rsidR="004B756D" w:rsidRDefault="004B756D" w:rsidP="004B756D">
      <w:pPr>
        <w:widowControl w:val="0"/>
        <w:ind w:firstLine="709"/>
        <w:jc w:val="both"/>
      </w:pPr>
      <w:r>
        <w:t>2) дополнить разделом VII следующего содержания:</w:t>
      </w:r>
    </w:p>
    <w:p w:rsidR="004B756D" w:rsidRDefault="004B756D" w:rsidP="004B756D">
      <w:pPr>
        <w:widowControl w:val="0"/>
        <w:ind w:firstLine="709"/>
        <w:jc w:val="both"/>
      </w:pPr>
      <w:r>
        <w:t>«VII. Ответственность</w:t>
      </w:r>
    </w:p>
    <w:p w:rsidR="004B756D" w:rsidRDefault="00CB4B3C" w:rsidP="004B756D">
      <w:pPr>
        <w:widowControl w:val="0"/>
        <w:ind w:firstLine="709"/>
        <w:jc w:val="both"/>
      </w:pPr>
      <w:r>
        <w:t>31. </w:t>
      </w:r>
      <w:r w:rsidR="004B756D">
        <w:t xml:space="preserve">Ответственность за предоставление недостоверной, умышленно искаженной информации, используемой при списании основных средств </w:t>
      </w:r>
      <w:r>
        <w:br/>
      </w:r>
      <w:r w:rsidR="004B756D">
        <w:t>и затрат по объектам незавершенного строительства, нарушение порядка начисления износа возлагается на руководителя организации - Пользователя муниципального имущества.</w:t>
      </w:r>
    </w:p>
    <w:p w:rsidR="004B756D" w:rsidRDefault="004B756D" w:rsidP="004B756D">
      <w:pPr>
        <w:widowControl w:val="0"/>
        <w:ind w:firstLine="709"/>
        <w:jc w:val="both"/>
      </w:pPr>
      <w:r>
        <w:t xml:space="preserve">Ответственность за своевременную организацию работ по сдаче в лом </w:t>
      </w:r>
      <w:r w:rsidR="00CB4B3C">
        <w:br/>
      </w:r>
      <w:r>
        <w:t xml:space="preserve">и достоверность представленных данных о весе непригодных к использованию узлов, сданных в металлолом, а также о сумме затрат на организацию работ </w:t>
      </w:r>
      <w:r w:rsidR="00CB4B3C">
        <w:br/>
      </w:r>
      <w:r>
        <w:t>по сдаче в металлолом, возлагается на руководителя организации:</w:t>
      </w:r>
    </w:p>
    <w:p w:rsidR="004B756D" w:rsidRDefault="00CB4B3C" w:rsidP="004B756D">
      <w:pPr>
        <w:widowControl w:val="0"/>
        <w:ind w:firstLine="709"/>
        <w:jc w:val="both"/>
      </w:pPr>
      <w:r>
        <w:t>- </w:t>
      </w:r>
      <w:r w:rsidR="004B756D">
        <w:t>Пользователя муниципального имущества, осуществляющего ремонтные работы (реконструкцию) без привлечения сторонних организаций;</w:t>
      </w:r>
    </w:p>
    <w:p w:rsidR="004B756D" w:rsidRDefault="00CB4B3C" w:rsidP="004B756D">
      <w:pPr>
        <w:widowControl w:val="0"/>
        <w:ind w:firstLine="709"/>
        <w:jc w:val="both"/>
      </w:pPr>
      <w:r>
        <w:t>- </w:t>
      </w:r>
      <w:r w:rsidR="004B756D">
        <w:t>Заказчика ремонтных работ (реконструкции), не являющегося Пользователем муниципального имущества.</w:t>
      </w:r>
    </w:p>
    <w:p w:rsidR="004B756D" w:rsidRDefault="00CB4B3C" w:rsidP="004B756D">
      <w:pPr>
        <w:widowControl w:val="0"/>
        <w:ind w:firstLine="709"/>
        <w:jc w:val="both"/>
      </w:pPr>
      <w:r>
        <w:t>32. </w:t>
      </w:r>
      <w:r w:rsidR="004B756D">
        <w:t>В случае нарушения требований, предусмотренных настоящим Положением, виновные лица несут ответственность, предусмотренную законодательством».</w:t>
      </w:r>
    </w:p>
    <w:p w:rsidR="004B756D" w:rsidRDefault="00CB4B3C" w:rsidP="004B756D">
      <w:pPr>
        <w:widowControl w:val="0"/>
        <w:ind w:firstLine="709"/>
        <w:jc w:val="both"/>
      </w:pPr>
      <w:r>
        <w:t>2. </w:t>
      </w:r>
      <w:r w:rsidR="004B756D">
        <w:t>Пресс-службе Администрации Златоустовск</w:t>
      </w:r>
      <w:r>
        <w:t>ого городского округа (Семёнова </w:t>
      </w:r>
      <w:r w:rsidR="004B756D">
        <w:t xml:space="preserve">А.Г.) опубликовать настоящее постановление в газете «Златоустовский рабочий» и разместить на официальном сайте </w:t>
      </w:r>
      <w:r w:rsidR="004B756D">
        <w:lastRenderedPageBreak/>
        <w:t xml:space="preserve">Златоустовского городского округа в сети «Интернет».   </w:t>
      </w:r>
    </w:p>
    <w:p w:rsidR="004B756D" w:rsidRDefault="00CB4B3C" w:rsidP="004B756D">
      <w:pPr>
        <w:widowControl w:val="0"/>
        <w:ind w:firstLine="709"/>
        <w:jc w:val="both"/>
      </w:pPr>
      <w:r>
        <w:t>3. </w:t>
      </w:r>
      <w:r w:rsidR="004B756D">
        <w:t xml:space="preserve">Организацию выполнения настоящего постановления возложить </w:t>
      </w:r>
      <w:r>
        <w:br/>
      </w:r>
      <w:r w:rsidR="004B756D">
        <w:t>на председателя Комитета по управлению имуществом Златоустовского городского округа Турову Е.В.</w:t>
      </w:r>
    </w:p>
    <w:p w:rsidR="009416DA" w:rsidRDefault="00CB4B3C" w:rsidP="004B756D">
      <w:pPr>
        <w:widowControl w:val="0"/>
        <w:ind w:firstLine="709"/>
        <w:jc w:val="both"/>
      </w:pPr>
      <w:r>
        <w:t>4. </w:t>
      </w:r>
      <w:r w:rsidR="004B756D">
        <w:t xml:space="preserve">Контроль за выполнением настоящего постановления оставляю </w:t>
      </w:r>
      <w:r>
        <w:br/>
      </w:r>
      <w:r w:rsidR="004B756D">
        <w:t>за собой.</w:t>
      </w:r>
    </w:p>
    <w:p w:rsidR="006B4CD1" w:rsidRDefault="006B4CD1" w:rsidP="004B756D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B4B3C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Первый заместитель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A43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397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A82" w:rsidRDefault="008B4A82">
      <w:r>
        <w:separator/>
      </w:r>
    </w:p>
  </w:endnote>
  <w:endnote w:type="continuationSeparator" w:id="1">
    <w:p w:rsidR="008B4A82" w:rsidRDefault="008B4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Вр-447332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Вр-447332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A82" w:rsidRDefault="008B4A82">
      <w:r>
        <w:separator/>
      </w:r>
    </w:p>
  </w:footnote>
  <w:footnote w:type="continuationSeparator" w:id="1">
    <w:p w:rsidR="008B4A82" w:rsidRDefault="008B4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B63A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411AC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411AC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56D"/>
    <w:rsid w:val="004B7759"/>
    <w:rsid w:val="004C09B4"/>
    <w:rsid w:val="00506A57"/>
    <w:rsid w:val="00513E4F"/>
    <w:rsid w:val="0052371C"/>
    <w:rsid w:val="00527A5C"/>
    <w:rsid w:val="00555783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4CD1"/>
    <w:rsid w:val="006B63AA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4A82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382A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B3C"/>
    <w:rsid w:val="00CB4F7A"/>
    <w:rsid w:val="00CB5E6C"/>
    <w:rsid w:val="00CC4E26"/>
    <w:rsid w:val="00CC7BDA"/>
    <w:rsid w:val="00CD25AA"/>
    <w:rsid w:val="00CF1C4C"/>
    <w:rsid w:val="00CF7C54"/>
    <w:rsid w:val="00D23A41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2025-09-12T10:01:00Z</dcterms:created>
  <dcterms:modified xsi:type="dcterms:W3CDTF">2025-09-12T10:01:00Z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