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E1BC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1614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23DF9" w:rsidRDefault="00DC242D" w:rsidP="00CC4E26">
      <w:pPr>
        <w:jc w:val="center"/>
        <w:rPr>
          <w:b/>
          <w:sz w:val="20"/>
          <w:szCs w:val="20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E1BC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0E1BC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778-р/АДМ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C23DF9" w:rsidP="00C23DF9">
            <w:pPr>
              <w:jc w:val="both"/>
            </w:pPr>
            <w:r w:rsidRPr="00C23DF9">
              <w:t>О приватизации нежилого здания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Pr="00C23DF9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C23DF9" w:rsidRPr="00C23DF9" w:rsidRDefault="00C23DF9" w:rsidP="009416DA">
      <w:pPr>
        <w:widowControl w:val="0"/>
        <w:ind w:firstLine="709"/>
        <w:jc w:val="both"/>
        <w:rPr>
          <w:sz w:val="20"/>
          <w:szCs w:val="20"/>
        </w:rPr>
      </w:pPr>
    </w:p>
    <w:p w:rsidR="00C23DF9" w:rsidRDefault="00C23DF9" w:rsidP="00C23DF9">
      <w:pPr>
        <w:widowControl w:val="0"/>
        <w:ind w:firstLine="709"/>
        <w:jc w:val="both"/>
      </w:pPr>
      <w: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 г. № 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 г. </w:t>
      </w:r>
      <w:r>
        <w:br/>
        <w:t xml:space="preserve">№ 860 «Об организации и проведении продажи государственного </w:t>
      </w:r>
      <w:r>
        <w:br/>
        <w:t>или муниципального имущества в электронной форме», Прогнозным планом приватизации муниципального имущества Златоустовского городского округа на 2026-2028 г., утвержденным решением Собрания депутатов Златоустовского городского округа от 05.11.2025 г. № 61-ЗГО: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1. Признать утратившим силу распоряжение Администрации Златоустовского городского округа Челябинской области от 09 марта 2023 г. </w:t>
      </w:r>
      <w:r>
        <w:br/>
        <w:t>№ 683-р/АДМ «О приватизации нежилого помещения и нежилого здания».</w:t>
      </w:r>
    </w:p>
    <w:p w:rsidR="00C23DF9" w:rsidRDefault="00C23DF9" w:rsidP="00C23DF9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осуществить приватизацию муниципального имущества, объекта культурного наследия – нежилого здания, назначение: нежилое, общей площадью 245,3 кв. метров, количество этажей: 2, в том числе подземных 0, кадастровый номер: 74:25:0304309:114, расположенное по адресу: Российская Федерация, Челябинская область, городской округ Златоустовский, город Златоуст, улица им. В.И. Ленина, дом 35 (далее – Объект).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Объект включен в единый государственный реестр объектов культурного наследия (памятников истории и культуры) народов Российской Федерации, регистрационный номер 741410118580005, в соответствии с Постановлением Законодательного собрания Челябинской области от 28.01.1999 г. № 457 </w:t>
      </w:r>
      <w:r>
        <w:br/>
        <w:t>«Об объявлении объектов историко-культурного наследия памятниками истории и культуры Челябинской области».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Объект относится к объектам культурного наследия, находящимся </w:t>
      </w:r>
      <w:r>
        <w:br/>
        <w:t xml:space="preserve">в неудовлетворительном состоянии, что подтверждается Заключением </w:t>
      </w:r>
      <w:r>
        <w:br/>
        <w:t xml:space="preserve">о признании находящимся в неудовлетворительном состоянии объекта культурного наследия от 25.11.2025 г. № 16 и Актом технического состояния объекта культурного наследия, включенного в единый государственный реестр </w:t>
      </w:r>
      <w:r>
        <w:lastRenderedPageBreak/>
        <w:t>объектов культурного наследия (памятников истории и культуры) народов Российской Федерации от 25.11.2025</w:t>
      </w:r>
      <w:r w:rsidR="00084B2F">
        <w:t xml:space="preserve"> г.</w:t>
      </w:r>
      <w:r>
        <w:t xml:space="preserve"> № 96 (приложение 1).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В отношении Объекта установлены следующие ограничения прав </w:t>
      </w:r>
      <w:r>
        <w:br/>
        <w:t xml:space="preserve">и обременения: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1) вид обременения: Объект культурного наследия регионального значения, дата государственной регистрации: 27.10.2020, номер государственной регистрации: 74:25:0304309:114-74/119/2020-3, основание государственной регистрации: Охранное обязательство, № 347, выданное 17.09.2020, Государственным комитетом охраны объектов культурного наследия Челябинской области (приложение 2); </w:t>
      </w:r>
    </w:p>
    <w:p w:rsidR="00C23DF9" w:rsidRDefault="00C23DF9" w:rsidP="00C23DF9">
      <w:pPr>
        <w:widowControl w:val="0"/>
        <w:ind w:firstLine="709"/>
        <w:jc w:val="both"/>
      </w:pPr>
      <w:r>
        <w:t>2) вид обременения: Объект культурного наследия регионального значения, дата государственной регистрации: 20.03.2018, номер государственной регистрации: 74:25:0304309:114-74/025/2018-2, основание государственной регистрации: Охранное обязательство, № 678, выданное 13.03.2018, Государственным комитетом охраны объектов культурного наследия Челябинской области (приложение 3).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3. Установить следующие условия продажи Объекта: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1) способ приватизации Объекта – конкурс в электронной форме открытый по составу участников и открытый по форме подачи предложений </w:t>
      </w:r>
      <w:r>
        <w:br/>
        <w:t xml:space="preserve">о цене;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2) начальная (минимальная) цена продажи Объекта - 1 (один) рубль, </w:t>
      </w:r>
      <w:r>
        <w:br/>
        <w:t xml:space="preserve">в том числе НДС;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3) шаг конкурса в размере 5 процентов кадастровой стоимости объекта;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4) задаток для участия в конкурсе в размере 20 процентов кадастровой стоимости Объекта;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5) оплата за Объект - единовременно в безналичном порядке в валюте Российской Федерации (рублях) в течение 30 (тридцати) календарных дней </w:t>
      </w:r>
      <w:r>
        <w:br/>
        <w:t xml:space="preserve">с момента заключения договора купли-продажи;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6) утвердить условия конкурса (приложение 4). 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4. Покупателю Объекта предоставить в аренду земельный участок </w:t>
      </w:r>
      <w:r>
        <w:br/>
        <w:t xml:space="preserve">с кадастровым номером 74:25:0304402:105, занимаемый Объектом </w:t>
      </w:r>
      <w:r>
        <w:br/>
        <w:t>и необходимый для его использования, в порядке предусмотренным земельным законодательством.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5.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C23DF9" w:rsidRDefault="00C23DF9" w:rsidP="00C23DF9">
      <w:pPr>
        <w:widowControl w:val="0"/>
        <w:ind w:firstLine="709"/>
        <w:jc w:val="both"/>
      </w:pPr>
      <w:r>
        <w:t xml:space="preserve">6.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406295" w:rsidRPr="00E335AA" w:rsidRDefault="00C23DF9" w:rsidP="00C23DF9">
      <w:pPr>
        <w:widowControl w:val="0"/>
        <w:ind w:firstLine="709"/>
        <w:jc w:val="both"/>
      </w:pPr>
      <w:r>
        <w:t xml:space="preserve">7.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6"/>
        <w:gridCol w:w="3118"/>
        <w:gridCol w:w="2266"/>
      </w:tblGrid>
      <w:tr w:rsidR="001B491C" w:rsidRPr="00E335AA" w:rsidTr="00C23DF9">
        <w:trPr>
          <w:trHeight w:val="1570"/>
        </w:trPr>
        <w:tc>
          <w:tcPr>
            <w:tcW w:w="425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B167B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AD6" w:rsidRDefault="003E6AD6">
      <w:r>
        <w:separator/>
      </w:r>
    </w:p>
  </w:endnote>
  <w:endnote w:type="continuationSeparator" w:id="1">
    <w:p w:rsidR="003E6AD6" w:rsidRDefault="003E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Вр-475075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Вр-475075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AD6" w:rsidRDefault="003E6AD6">
      <w:r>
        <w:separator/>
      </w:r>
    </w:p>
  </w:footnote>
  <w:footnote w:type="continuationSeparator" w:id="1">
    <w:p w:rsidR="003E6AD6" w:rsidRDefault="003E6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E1BC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0519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4B2F"/>
    <w:rsid w:val="000C680A"/>
    <w:rsid w:val="000D23DE"/>
    <w:rsid w:val="000D5B28"/>
    <w:rsid w:val="000E1BC3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519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262B3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AD6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67B2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3DF9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1E91-455A-440A-86B9-DE827BCA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2026-03-11T10:13:00Z</cp:lastPrinted>
  <dcterms:created xsi:type="dcterms:W3CDTF">2026-03-16T05:18:00Z</dcterms:created>
  <dcterms:modified xsi:type="dcterms:W3CDTF">2026-03-16T05:18:00Z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