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71D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53275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654"/>
        <w:gridCol w:w="3313"/>
        <w:gridCol w:w="567"/>
      </w:tblGrid>
      <w:tr w:rsidR="009416DA" w:rsidRPr="00E335AA" w:rsidTr="002D3BCE">
        <w:trPr>
          <w:gridAfter w:val="1"/>
          <w:wAfter w:w="567" w:type="dxa"/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C071D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9416DA" w:rsidRPr="009416DA" w:rsidRDefault="00C071D5" w:rsidP="00E4076D">
            <w:fldSimple w:instr=" DOCPROPERTY  Рег.№  \* MERGEFORMAT ">
              <w:r w:rsidR="009416DA" w:rsidRPr="009416DA">
                <w:t>77-П/АДМ</w:t>
              </w:r>
            </w:fldSimple>
          </w:p>
        </w:tc>
        <w:tc>
          <w:tcPr>
            <w:tcW w:w="3313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D3BCE">
        <w:trPr>
          <w:gridAfter w:val="1"/>
          <w:wAfter w:w="567" w:type="dxa"/>
          <w:trHeight w:val="446"/>
        </w:trPr>
        <w:tc>
          <w:tcPr>
            <w:tcW w:w="4962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313" w:type="dxa"/>
          </w:tcPr>
          <w:p w:rsidR="009416DA" w:rsidRPr="00E335AA" w:rsidRDefault="009416DA" w:rsidP="0065508B"/>
        </w:tc>
      </w:tr>
      <w:tr w:rsidR="00D96BA1" w:rsidRPr="00E335AA" w:rsidTr="002D3BCE">
        <w:trPr>
          <w:trHeight w:val="446"/>
        </w:trPr>
        <w:tc>
          <w:tcPr>
            <w:tcW w:w="4962" w:type="dxa"/>
            <w:gridSpan w:val="3"/>
            <w:tcMar>
              <w:left w:w="0" w:type="dxa"/>
            </w:tcMar>
          </w:tcPr>
          <w:p w:rsidR="00D96BA1" w:rsidRDefault="002D3BCE" w:rsidP="002D3BCE">
            <w:pPr>
              <w:jc w:val="both"/>
            </w:pPr>
            <w:r w:rsidRPr="002D3BCE">
              <w:t xml:space="preserve">О внесении изменений в постановление Администрации Златоустовского </w:t>
            </w:r>
            <w:r>
              <w:t>городского округа от 09.06.2025 </w:t>
            </w:r>
            <w:r w:rsidRPr="002D3BCE">
              <w:t xml:space="preserve">г. </w:t>
            </w:r>
            <w:r>
              <w:br/>
            </w:r>
            <w:r w:rsidR="003C5627">
              <w:t>№ 205-</w:t>
            </w:r>
            <w:r w:rsidRPr="002D3BCE">
              <w:t xml:space="preserve">П/АДМ «Об утверждении Положения о проверке достоверности </w:t>
            </w:r>
            <w:r>
              <w:br/>
            </w:r>
            <w:r w:rsidRPr="002D3BCE">
              <w:t xml:space="preserve">и полноты сведений, представляемых гражданами, претендующими </w:t>
            </w:r>
            <w:r>
              <w:br/>
            </w:r>
            <w:r w:rsidRPr="002D3BCE">
              <w:t xml:space="preserve">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требований </w:t>
            </w:r>
            <w:r>
              <w:br/>
            </w:r>
            <w:r w:rsidRPr="002D3BCE">
              <w:t>к служебному поведению»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D3BCE" w:rsidRDefault="002D3BCE" w:rsidP="009416DA">
      <w:pPr>
        <w:widowControl w:val="0"/>
        <w:ind w:firstLine="709"/>
        <w:jc w:val="both"/>
      </w:pPr>
    </w:p>
    <w:p w:rsidR="002D3BCE" w:rsidRDefault="002D3BCE" w:rsidP="00975C03">
      <w:pPr>
        <w:widowControl w:val="0"/>
        <w:ind w:firstLine="708"/>
        <w:jc w:val="both"/>
      </w:pPr>
      <w:r w:rsidRPr="002D3BCE">
        <w:t>В соответствии с Федеральным законом от 28</w:t>
      </w:r>
      <w:r>
        <w:t xml:space="preserve"> декабря 2025 г. № 505-ФЗ «</w:t>
      </w:r>
      <w:r w:rsidRPr="002D3BCE">
        <w:t>О внесении изменений в отдельные законодате</w:t>
      </w:r>
      <w:r>
        <w:t>льные акты Российской Федерации»</w:t>
      </w:r>
      <w:r w:rsidRPr="002D3BCE">
        <w:t>, Федеральным законом «О противодействии коррупции», руководствуясь Указом Президента Рос</w:t>
      </w:r>
      <w:r>
        <w:t>сийской Федерации от 21.09.2009 </w:t>
      </w:r>
      <w:r w:rsidRPr="002D3BCE">
        <w:t xml:space="preserve">г. </w:t>
      </w:r>
      <w:r>
        <w:br/>
      </w:r>
      <w:r>
        <w:lastRenderedPageBreak/>
        <w:t>№ 1065 «</w:t>
      </w:r>
      <w:r w:rsidRPr="002D3BCE">
        <w:t xml:space="preserve"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>
        <w:br/>
      </w:r>
      <w:r w:rsidRPr="002D3BCE">
        <w:t xml:space="preserve">и соблюдения федеральными государственными служащими требований </w:t>
      </w:r>
      <w:r>
        <w:br/>
        <w:t>кслужебному поведению»</w:t>
      </w:r>
      <w:r w:rsidRPr="002D3BCE">
        <w:t>, в соответствии с постановлением Губернатора Челяби</w:t>
      </w:r>
      <w:r>
        <w:t>нской области от 25.11.2009 г. № 312 «</w:t>
      </w:r>
      <w:r w:rsidRPr="002D3BCE">
        <w:t xml:space="preserve">О проверке достоверности </w:t>
      </w:r>
      <w:r>
        <w:br/>
      </w:r>
      <w:r w:rsidRPr="002D3BCE">
        <w:t xml:space="preserve">и полноты сведений, представляемых гражданами, претендующими </w:t>
      </w:r>
      <w:r>
        <w:br/>
      </w:r>
      <w:r w:rsidRPr="002D3BCE">
        <w:t>на замещение должностей государственной гражданской службы Челябинской области, и государственными гражданскими служащими Челябинской области, и соблюдения государственными гражданскими служащими Челябинской области тр</w:t>
      </w:r>
      <w:r>
        <w:t>ебований к служебному поведению»</w:t>
      </w:r>
      <w:r w:rsidRPr="002D3BCE">
        <w:t xml:space="preserve">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D3BCE" w:rsidRDefault="002D3BCE" w:rsidP="002D3BCE">
      <w:pPr>
        <w:widowControl w:val="0"/>
        <w:tabs>
          <w:tab w:val="left" w:pos="993"/>
        </w:tabs>
        <w:ind w:firstLine="709"/>
        <w:jc w:val="both"/>
      </w:pPr>
      <w:r>
        <w:t xml:space="preserve">1. Внести в приложение 1 постановления Администрации Златоустовского </w:t>
      </w:r>
      <w:r w:rsidR="000B2008">
        <w:t>городского округа от 09.06.2025 г. № </w:t>
      </w:r>
      <w:r w:rsidR="00586823">
        <w:t>205-</w:t>
      </w:r>
      <w:r>
        <w:t>П/АДМ</w:t>
      </w:r>
      <w:r>
        <w:br/>
        <w:t xml:space="preserve"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и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округа, и соблюдения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требований к служебному поведению» </w:t>
      </w:r>
      <w:r w:rsidR="000B2008">
        <w:br/>
      </w:r>
      <w:r>
        <w:t>(в редакции от 23.07.2025 г. № 255-П/АДМ) следующие изменения:</w:t>
      </w:r>
    </w:p>
    <w:p w:rsidR="002D3BCE" w:rsidRDefault="000B2008" w:rsidP="002D3BCE">
      <w:pPr>
        <w:widowControl w:val="0"/>
        <w:ind w:firstLine="709"/>
        <w:jc w:val="both"/>
      </w:pPr>
      <w:r>
        <w:t>1) </w:t>
      </w:r>
      <w:r w:rsidR="002D3BCE">
        <w:t>абзац второй подпункта 1 пункта 1 изложить в следующей редакции:</w:t>
      </w:r>
    </w:p>
    <w:p w:rsidR="002D3BCE" w:rsidRDefault="002D3BCE" w:rsidP="002D3BCE">
      <w:pPr>
        <w:widowControl w:val="0"/>
        <w:ind w:firstLine="709"/>
        <w:jc w:val="both"/>
      </w:pPr>
      <w:r>
        <w:t>«гражданами, претендующими на замещение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</w:t>
      </w:r>
      <w:r w:rsidR="000B2008">
        <w:t>одского округа, предусмотренных</w:t>
      </w:r>
      <w:r>
        <w:t xml:space="preserve"> Перечнями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утвержденными постановлением Администрации Златоустовского городского округа, правовыми актами отраслевых (функциональных) органов Администрации Златоусто</w:t>
      </w:r>
      <w:r w:rsidR="000B2008">
        <w:t>вского городского округа (далее – </w:t>
      </w:r>
      <w:r>
        <w:t xml:space="preserve">граждане), </w:t>
      </w:r>
      <w:r w:rsidR="000B2008">
        <w:br/>
      </w:r>
      <w:r>
        <w:t xml:space="preserve">на отчетную дату»; </w:t>
      </w:r>
    </w:p>
    <w:p w:rsidR="002D3BCE" w:rsidRDefault="000B2008" w:rsidP="002D3BCE">
      <w:pPr>
        <w:widowControl w:val="0"/>
        <w:ind w:firstLine="709"/>
        <w:jc w:val="both"/>
      </w:pPr>
      <w:r>
        <w:t>2) </w:t>
      </w:r>
      <w:r w:rsidR="002D3BCE">
        <w:t>пункт 3 изложить в следующей редакции:</w:t>
      </w:r>
    </w:p>
    <w:p w:rsidR="002D3BCE" w:rsidRDefault="000B2008" w:rsidP="002D3BCE">
      <w:pPr>
        <w:widowControl w:val="0"/>
        <w:ind w:firstLine="709"/>
        <w:jc w:val="both"/>
      </w:pPr>
      <w:r>
        <w:t>«3. </w:t>
      </w:r>
      <w:r w:rsidR="002D3BCE"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предусмотренной Перечнями должностей муниципальной службы </w:t>
      </w:r>
      <w:r w:rsidR="002D3BCE">
        <w:lastRenderedPageBreak/>
        <w:t xml:space="preserve">Администрации Златоустовского городского округа, отраслевых (функциональных) органов Администрации Златоустовского городского округа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утвержденными постановлением Администрации Златоустовского городского округа, правовыми актами отраслевых (функциональных) органов Администрации Златоустовского городского округа, и муниципальным служащим, назначаемым на должность в порядке перевода из другого муниципального органа, осуществляется в порядке, установленном настоящим Положением для проверки сведений, представляемых гражданами </w:t>
      </w:r>
      <w:r>
        <w:br/>
      </w:r>
      <w:r w:rsidR="002D3BCE">
        <w:t>в соответствии с нормативными правовыми актами Российской Федерации.».</w:t>
      </w:r>
    </w:p>
    <w:p w:rsidR="002D3BCE" w:rsidRDefault="000B2008" w:rsidP="002D3BCE">
      <w:pPr>
        <w:widowControl w:val="0"/>
        <w:ind w:firstLine="709"/>
        <w:jc w:val="both"/>
      </w:pPr>
      <w:r>
        <w:t>2. Пресс-</w:t>
      </w:r>
      <w:r w:rsidR="002D3BCE">
        <w:t>службе Администрации Златоус</w:t>
      </w:r>
      <w:r>
        <w:t>товского городского округа (Семёнова </w:t>
      </w:r>
      <w:r w:rsidR="002D3BCE">
        <w:t>А.Г.) опубликовать настоящее постановление в газете «Златоустовский рабочий» и раз</w:t>
      </w:r>
      <w:bookmarkStart w:id="0" w:name="_GoBack"/>
      <w:bookmarkEnd w:id="0"/>
      <w:r w:rsidR="002D3BCE">
        <w:t>местить на официальном сайте Златоустовского городского округа в сети «Интернет».</w:t>
      </w:r>
    </w:p>
    <w:p w:rsidR="00406295" w:rsidRDefault="000B2008" w:rsidP="002D3BCE">
      <w:pPr>
        <w:widowControl w:val="0"/>
        <w:ind w:firstLine="709"/>
        <w:jc w:val="both"/>
      </w:pPr>
      <w:r>
        <w:t>3. </w:t>
      </w:r>
      <w:r w:rsidR="002D3BCE">
        <w:t xml:space="preserve">Организацию и контроль </w:t>
      </w:r>
      <w:r w:rsidR="00586823">
        <w:t>за выполнением</w:t>
      </w:r>
      <w:r w:rsidR="002D3BCE">
        <w:t xml:space="preserve"> настоящего постановления </w:t>
      </w:r>
      <w:r>
        <w:t>оставляю за собой.</w:t>
      </w:r>
    </w:p>
    <w:p w:rsidR="000B2008" w:rsidRPr="00E335AA" w:rsidRDefault="000B2008" w:rsidP="002D3BCE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0B200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0B2008">
            <w:pPr>
              <w:ind w:right="1"/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D19" w:rsidRDefault="004E2D19">
      <w:r>
        <w:separator/>
      </w:r>
    </w:p>
  </w:endnote>
  <w:endnote w:type="continuationSeparator" w:id="1">
    <w:p w:rsidR="004E2D19" w:rsidRDefault="004E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Вр-473059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Вр-473059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D19" w:rsidRDefault="004E2D19">
      <w:r>
        <w:separator/>
      </w:r>
    </w:p>
  </w:footnote>
  <w:footnote w:type="continuationSeparator" w:id="1">
    <w:p w:rsidR="004E2D19" w:rsidRDefault="004E2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071D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37CC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2008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BC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5627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2D19"/>
    <w:rsid w:val="00506A57"/>
    <w:rsid w:val="00513E4F"/>
    <w:rsid w:val="0052371C"/>
    <w:rsid w:val="00527A5C"/>
    <w:rsid w:val="00562567"/>
    <w:rsid w:val="0056766F"/>
    <w:rsid w:val="0057186F"/>
    <w:rsid w:val="00586823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F3D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71D5"/>
    <w:rsid w:val="00C20EF1"/>
    <w:rsid w:val="00C27902"/>
    <w:rsid w:val="00C30FF0"/>
    <w:rsid w:val="00C37CC2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2026-03-16T09:44:00Z</cp:lastPrinted>
  <dcterms:created xsi:type="dcterms:W3CDTF">2026-03-18T03:25:00Z</dcterms:created>
  <dcterms:modified xsi:type="dcterms:W3CDTF">2026-03-18T03:25:00Z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