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8A5843" w:rsidRDefault="00BF6DCB" w:rsidP="008A5843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070912" r:id="rId9"/>
        </w:pict>
      </w:r>
      <w:r w:rsidR="00DC242D" w:rsidRPr="008A5843">
        <w:rPr>
          <w:sz w:val="20"/>
          <w:szCs w:val="20"/>
        </w:rPr>
        <w:t>ЧЕЛЯБИНСКАЯ ОБЛАСТЬ</w:t>
      </w:r>
    </w:p>
    <w:p w:rsidR="00DC242D" w:rsidRPr="008A5843" w:rsidRDefault="00DC242D" w:rsidP="008A5843">
      <w:pPr>
        <w:jc w:val="center"/>
        <w:rPr>
          <w:b/>
          <w:sz w:val="32"/>
          <w:szCs w:val="32"/>
        </w:rPr>
      </w:pPr>
    </w:p>
    <w:p w:rsidR="00DC242D" w:rsidRPr="008A5843" w:rsidRDefault="00DC242D" w:rsidP="008A5843">
      <w:pPr>
        <w:jc w:val="center"/>
        <w:rPr>
          <w:b/>
          <w:sz w:val="32"/>
          <w:szCs w:val="32"/>
        </w:rPr>
      </w:pPr>
      <w:r w:rsidRPr="008A5843">
        <w:rPr>
          <w:b/>
          <w:sz w:val="32"/>
          <w:szCs w:val="32"/>
        </w:rPr>
        <w:t>АДМИНИСТРАЦИЯ</w:t>
      </w:r>
    </w:p>
    <w:p w:rsidR="00DC242D" w:rsidRPr="008A5843" w:rsidRDefault="00DC242D" w:rsidP="008A5843">
      <w:pPr>
        <w:jc w:val="center"/>
        <w:rPr>
          <w:b/>
          <w:sz w:val="32"/>
          <w:szCs w:val="32"/>
        </w:rPr>
      </w:pPr>
      <w:r w:rsidRPr="008A5843">
        <w:rPr>
          <w:b/>
          <w:sz w:val="32"/>
          <w:szCs w:val="32"/>
        </w:rPr>
        <w:t>ЗЛАТОУСТОВСКОГО ГОРОДСКОГО ОКРУГА</w:t>
      </w:r>
    </w:p>
    <w:p w:rsidR="0034630A" w:rsidRPr="008A5843" w:rsidRDefault="0034630A" w:rsidP="008A5843">
      <w:pPr>
        <w:jc w:val="center"/>
        <w:rPr>
          <w:b/>
          <w:sz w:val="36"/>
          <w:szCs w:val="36"/>
        </w:rPr>
      </w:pPr>
      <w:r w:rsidRPr="008A5843">
        <w:rPr>
          <w:b/>
          <w:sz w:val="36"/>
          <w:szCs w:val="36"/>
        </w:rPr>
        <w:t>ПОСТАНОВЛЕНИЕ</w:t>
      </w:r>
    </w:p>
    <w:p w:rsidR="00DC242D" w:rsidRPr="008A5843" w:rsidRDefault="00DC242D" w:rsidP="008A5843">
      <w:pPr>
        <w:rPr>
          <w:sz w:val="20"/>
          <w:szCs w:val="20"/>
        </w:rPr>
      </w:pPr>
    </w:p>
    <w:p w:rsidR="00DC242D" w:rsidRPr="008A5843" w:rsidRDefault="00DC242D" w:rsidP="008A5843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8A5843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8A5843" w:rsidRDefault="00BF6DCB" w:rsidP="008A5843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8A5843">
              <w:t>06.04.2026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8A5843" w:rsidRDefault="009416DA" w:rsidP="008A5843">
            <w:pPr>
              <w:jc w:val="center"/>
            </w:pPr>
            <w:r w:rsidRPr="008A5843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8A5843" w:rsidRDefault="00DA315F" w:rsidP="008A5843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8A5843">
              <w:t>111-П/</w:t>
            </w:r>
            <w:proofErr w:type="gramStart"/>
            <w:r w:rsidR="009416DA" w:rsidRPr="008A5843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Pr="008A5843" w:rsidRDefault="009416DA" w:rsidP="008A5843">
            <w:pPr>
              <w:ind w:left="-170" w:right="-170"/>
              <w:jc w:val="center"/>
            </w:pPr>
          </w:p>
        </w:tc>
      </w:tr>
      <w:tr w:rsidR="009416DA" w:rsidRPr="008A5843" w:rsidTr="00021E2C">
        <w:trPr>
          <w:trHeight w:val="446"/>
        </w:trPr>
        <w:tc>
          <w:tcPr>
            <w:tcW w:w="4536" w:type="dxa"/>
            <w:gridSpan w:val="3"/>
          </w:tcPr>
          <w:p w:rsidR="009416DA" w:rsidRPr="008A5843" w:rsidRDefault="00E4076D" w:rsidP="008A5843">
            <w:pPr>
              <w:jc w:val="center"/>
              <w:rPr>
                <w:sz w:val="20"/>
                <w:szCs w:val="20"/>
              </w:rPr>
            </w:pPr>
            <w:r w:rsidRPr="008A5843">
              <w:rPr>
                <w:sz w:val="20"/>
                <w:szCs w:val="20"/>
              </w:rPr>
              <w:t>г. Златоуст</w:t>
            </w:r>
          </w:p>
        </w:tc>
        <w:tc>
          <w:tcPr>
            <w:tcW w:w="3879" w:type="dxa"/>
          </w:tcPr>
          <w:p w:rsidR="009416DA" w:rsidRPr="008A5843" w:rsidRDefault="009416DA" w:rsidP="008A5843"/>
        </w:tc>
      </w:tr>
      <w:tr w:rsidR="00D96BA1" w:rsidRPr="008A5843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Pr="008A5843" w:rsidRDefault="00D96BA1" w:rsidP="008A5843">
            <w:pPr>
              <w:jc w:val="both"/>
            </w:pPr>
            <w:r w:rsidRPr="008A5843">
              <w:t xml:space="preserve">О внесении изменений </w:t>
            </w:r>
            <w:r w:rsidR="0023151A" w:rsidRPr="008A5843">
              <w:br/>
            </w:r>
            <w:r w:rsidRPr="008A5843">
              <w:t>в постановление Администрации Златоустовского городского округа от 17.11.2023 г. № 427-П/</w:t>
            </w:r>
            <w:proofErr w:type="gramStart"/>
            <w:r w:rsidRPr="008A5843">
              <w:t>АДМ</w:t>
            </w:r>
            <w:proofErr w:type="gramEnd"/>
            <w:r w:rsidRPr="008A5843">
              <w:t xml:space="preserve"> </w:t>
            </w:r>
            <w:r w:rsidR="0023151A" w:rsidRPr="008A5843">
              <w:br/>
            </w:r>
            <w:r w:rsidRPr="008A5843">
              <w:t>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Pr="008A5843" w:rsidRDefault="00D96BA1" w:rsidP="008A5843">
            <w:pPr>
              <w:jc w:val="both"/>
            </w:pPr>
          </w:p>
        </w:tc>
      </w:tr>
    </w:tbl>
    <w:p w:rsidR="009416DA" w:rsidRPr="008A5843" w:rsidRDefault="009416DA" w:rsidP="008A5843">
      <w:pPr>
        <w:widowControl w:val="0"/>
        <w:ind w:firstLine="709"/>
        <w:jc w:val="both"/>
      </w:pPr>
    </w:p>
    <w:p w:rsidR="0023151A" w:rsidRPr="008A5843" w:rsidRDefault="0023151A" w:rsidP="008A5843">
      <w:pPr>
        <w:widowControl w:val="0"/>
        <w:ind w:firstLine="709"/>
        <w:jc w:val="both"/>
      </w:pPr>
    </w:p>
    <w:p w:rsidR="009416DA" w:rsidRPr="008A5843" w:rsidRDefault="009153A8" w:rsidP="008A5843">
      <w:pPr>
        <w:widowControl w:val="0"/>
        <w:ind w:firstLine="709"/>
        <w:jc w:val="both"/>
      </w:pPr>
      <w:proofErr w:type="gramStart"/>
      <w:r w:rsidRPr="008A5843">
        <w:t xml:space="preserve">В соответствии со сводной бюджетной росписью Златоустовского городского округа на 2025 год и плановый период 2026 и 2027 годов </w:t>
      </w:r>
      <w:r w:rsidRPr="008A5843">
        <w:br/>
        <w:t>по состоянию на 30.12.2025 г.,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объемов финансирования, целевых индикаторов и срока реализации муниципальной</w:t>
      </w:r>
      <w:proofErr w:type="gramEnd"/>
      <w:r w:rsidRPr="008A5843">
        <w:t xml:space="preserve">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</w:t>
      </w:r>
    </w:p>
    <w:p w:rsidR="009416DA" w:rsidRPr="008A5843" w:rsidRDefault="00F12903" w:rsidP="008A5843">
      <w:pPr>
        <w:widowControl w:val="0"/>
        <w:ind w:firstLine="708"/>
        <w:jc w:val="both"/>
      </w:pPr>
      <w:r w:rsidRPr="008A5843">
        <w:t>ПОСТАНОВЛЯЮ:</w:t>
      </w:r>
    </w:p>
    <w:p w:rsidR="009153A8" w:rsidRPr="008A5843" w:rsidRDefault="009153A8" w:rsidP="008A5843">
      <w:pPr>
        <w:widowControl w:val="0"/>
        <w:ind w:firstLine="709"/>
        <w:jc w:val="both"/>
      </w:pPr>
      <w:r w:rsidRPr="008A5843">
        <w:t>1. Приложение к постановлению Администрации Златоустовского городского округа от 17.11.2023 г. № 427-П/</w:t>
      </w:r>
      <w:proofErr w:type="gramStart"/>
      <w:r w:rsidRPr="008A5843">
        <w:t>АДМ</w:t>
      </w:r>
      <w:proofErr w:type="gramEnd"/>
      <w:r w:rsidRPr="008A5843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 w:rsidRPr="008A5843">
        <w:br/>
        <w:t>(в редакции от 27.01.2026 г. № 18-П/АДМ) изложить в новой редакции (приложение).</w:t>
      </w:r>
    </w:p>
    <w:p w:rsidR="009153A8" w:rsidRPr="008A5843" w:rsidRDefault="009153A8" w:rsidP="008A5843">
      <w:pPr>
        <w:widowControl w:val="0"/>
        <w:ind w:firstLine="709"/>
        <w:jc w:val="both"/>
      </w:pPr>
      <w:r w:rsidRPr="008A5843">
        <w:t xml:space="preserve">2. Пресс-службе Администрации Златоустовского городского округа </w:t>
      </w:r>
      <w:r w:rsidRPr="008A5843">
        <w:lastRenderedPageBreak/>
        <w:t>(</w:t>
      </w:r>
      <w:proofErr w:type="spellStart"/>
      <w:r w:rsidRPr="008A5843">
        <w:t>Семёнова</w:t>
      </w:r>
      <w:proofErr w:type="spellEnd"/>
      <w:r w:rsidRPr="008A5843">
        <w:t xml:space="preserve"> А.Г.) </w:t>
      </w:r>
      <w:proofErr w:type="gramStart"/>
      <w:r w:rsidRPr="008A5843">
        <w:t>разместить</w:t>
      </w:r>
      <w:proofErr w:type="gramEnd"/>
      <w:r w:rsidRPr="008A5843">
        <w:t xml:space="preserve"> настоящее постановление на официальном сайте Златоустовского городского округа в сети «Интернет».</w:t>
      </w:r>
    </w:p>
    <w:p w:rsidR="009153A8" w:rsidRPr="008A5843" w:rsidRDefault="009153A8" w:rsidP="008A5843">
      <w:pPr>
        <w:widowControl w:val="0"/>
        <w:ind w:firstLine="709"/>
        <w:jc w:val="both"/>
      </w:pPr>
      <w:r w:rsidRPr="008A5843">
        <w:t xml:space="preserve">3. Организацию выполнения настоящего постановления возложить </w:t>
      </w:r>
      <w:r w:rsidRPr="008A5843"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Pr="008A5843">
        <w:t>Белюшина</w:t>
      </w:r>
      <w:proofErr w:type="spellEnd"/>
      <w:r w:rsidRPr="008A5843">
        <w:t xml:space="preserve"> А.М.</w:t>
      </w:r>
    </w:p>
    <w:p w:rsidR="009416DA" w:rsidRPr="008A5843" w:rsidRDefault="009153A8" w:rsidP="008A5843">
      <w:pPr>
        <w:widowControl w:val="0"/>
        <w:ind w:firstLine="709"/>
        <w:jc w:val="both"/>
      </w:pPr>
      <w:r w:rsidRPr="008A5843">
        <w:t>4. </w:t>
      </w:r>
      <w:proofErr w:type="gramStart"/>
      <w:r w:rsidRPr="008A5843">
        <w:t>Контроль за</w:t>
      </w:r>
      <w:proofErr w:type="gramEnd"/>
      <w:r w:rsidRPr="008A5843">
        <w:t xml:space="preserve"> выполнением настоящего постановления оставляю </w:t>
      </w:r>
      <w:r w:rsidRPr="008A5843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8A5843" w:rsidTr="009153A8">
        <w:trPr>
          <w:trHeight w:val="1570"/>
        </w:trPr>
        <w:tc>
          <w:tcPr>
            <w:tcW w:w="4254" w:type="dxa"/>
            <w:vAlign w:val="bottom"/>
          </w:tcPr>
          <w:p w:rsidR="00347398" w:rsidRPr="008A5843" w:rsidRDefault="00347398" w:rsidP="008A5843">
            <w:r w:rsidRPr="008A5843">
              <w:t xml:space="preserve">Заместитель Главы </w:t>
            </w:r>
            <w:r w:rsidR="0023151A" w:rsidRPr="008A5843">
              <w:br/>
            </w:r>
            <w:r w:rsidRPr="008A5843">
              <w:t xml:space="preserve">Златоустовского городского округа </w:t>
            </w:r>
            <w:r w:rsidR="0023151A" w:rsidRPr="008A5843">
              <w:br/>
            </w:r>
            <w:r w:rsidRPr="008A5843"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Pr="008A5843" w:rsidRDefault="007D5BE3" w:rsidP="008A5843">
            <w:pPr>
              <w:jc w:val="center"/>
            </w:pPr>
            <w:r w:rsidRPr="008A5843">
              <w:rPr>
                <w:noProof/>
              </w:rPr>
              <w:drawing>
                <wp:inline distT="0" distB="0" distL="0" distR="0" wp14:anchorId="3E2F4614" wp14:editId="36A042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8A5843" w:rsidRDefault="00347398" w:rsidP="008A5843">
            <w:pPr>
              <w:jc w:val="right"/>
            </w:pPr>
            <w:r w:rsidRPr="008A5843">
              <w:t>В.В. Бобылев</w:t>
            </w:r>
          </w:p>
        </w:tc>
      </w:tr>
    </w:tbl>
    <w:p w:rsidR="009153A8" w:rsidRPr="008A5843" w:rsidRDefault="009153A8" w:rsidP="008A5843"/>
    <w:p w:rsidR="009153A8" w:rsidRPr="008A5843" w:rsidRDefault="009153A8" w:rsidP="008A5843">
      <w:r w:rsidRPr="008A5843">
        <w:br w:type="page"/>
      </w:r>
    </w:p>
    <w:p w:rsidR="009153A8" w:rsidRPr="009153A8" w:rsidRDefault="009153A8" w:rsidP="008A5843">
      <w:pPr>
        <w:ind w:left="5103"/>
        <w:jc w:val="center"/>
      </w:pPr>
      <w:r w:rsidRPr="009153A8">
        <w:lastRenderedPageBreak/>
        <w:t>ПРИЛОЖЕНИЕ</w:t>
      </w:r>
    </w:p>
    <w:p w:rsidR="009153A8" w:rsidRPr="009153A8" w:rsidRDefault="009153A8" w:rsidP="008A58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53A8">
        <w:rPr>
          <w:lang w:eastAsia="ar-SA"/>
        </w:rPr>
        <w:t>Утверждено</w:t>
      </w:r>
    </w:p>
    <w:p w:rsidR="009153A8" w:rsidRPr="009153A8" w:rsidRDefault="009153A8" w:rsidP="008A58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53A8">
        <w:rPr>
          <w:lang w:eastAsia="ar-SA"/>
        </w:rPr>
        <w:t>постановлением Администрации</w:t>
      </w:r>
    </w:p>
    <w:p w:rsidR="009153A8" w:rsidRPr="009153A8" w:rsidRDefault="009153A8" w:rsidP="008A5843">
      <w:pPr>
        <w:ind w:left="5103"/>
        <w:jc w:val="center"/>
      </w:pPr>
      <w:r w:rsidRPr="009153A8">
        <w:t>Златоустовского городского округа</w:t>
      </w:r>
    </w:p>
    <w:p w:rsidR="009153A8" w:rsidRPr="009153A8" w:rsidRDefault="009153A8" w:rsidP="008A58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53A8">
        <w:rPr>
          <w:lang w:eastAsia="ar-SA"/>
        </w:rPr>
        <w:t xml:space="preserve">от </w:t>
      </w:r>
      <w:r w:rsidR="00652134" w:rsidRPr="00652134">
        <w:rPr>
          <w:lang w:eastAsia="ar-SA"/>
        </w:rPr>
        <w:t>06.04.2026 г.</w:t>
      </w:r>
      <w:r w:rsidR="00652134">
        <w:rPr>
          <w:lang w:eastAsia="ar-SA"/>
        </w:rPr>
        <w:t xml:space="preserve"> </w:t>
      </w:r>
      <w:r w:rsidRPr="009153A8">
        <w:rPr>
          <w:lang w:eastAsia="ar-SA"/>
        </w:rPr>
        <w:t>№ </w:t>
      </w:r>
      <w:r w:rsidR="00652134" w:rsidRPr="00652134">
        <w:rPr>
          <w:lang w:eastAsia="ar-SA"/>
        </w:rPr>
        <w:t>111-П/</w:t>
      </w:r>
      <w:proofErr w:type="gramStart"/>
      <w:r w:rsidR="00652134" w:rsidRPr="00652134">
        <w:rPr>
          <w:lang w:eastAsia="ar-SA"/>
        </w:rPr>
        <w:t>АДМ</w:t>
      </w:r>
      <w:proofErr w:type="gramEnd"/>
    </w:p>
    <w:p w:rsidR="00CF1C4C" w:rsidRPr="008A5843" w:rsidRDefault="00CF1C4C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center"/>
      </w:pPr>
      <w:r w:rsidRPr="008A5843">
        <w:t>МУНИЦИПАЛЬНАЯ ПРОГРАММА</w:t>
      </w:r>
    </w:p>
    <w:p w:rsidR="009153A8" w:rsidRPr="008A5843" w:rsidRDefault="009153A8" w:rsidP="008A5843">
      <w:pPr>
        <w:jc w:val="center"/>
      </w:pPr>
      <w:r w:rsidRPr="008A5843">
        <w:t>ЗЛАТОУСТОВСКОГО ГОРОДСКОГО ОКРУГА</w:t>
      </w:r>
    </w:p>
    <w:p w:rsidR="009153A8" w:rsidRPr="008A5843" w:rsidRDefault="009153A8" w:rsidP="008A5843">
      <w:pPr>
        <w:jc w:val="center"/>
      </w:pPr>
    </w:p>
    <w:p w:rsidR="009153A8" w:rsidRPr="008A5843" w:rsidRDefault="009153A8" w:rsidP="008A5843">
      <w:pPr>
        <w:jc w:val="center"/>
      </w:pPr>
    </w:p>
    <w:p w:rsidR="009153A8" w:rsidRPr="008A5843" w:rsidRDefault="009153A8" w:rsidP="008A5843">
      <w:pPr>
        <w:jc w:val="center"/>
      </w:pPr>
      <w:r w:rsidRPr="008A5843">
        <w:t xml:space="preserve">«Обеспечение качественными услугами </w:t>
      </w:r>
      <w:proofErr w:type="gramStart"/>
      <w:r w:rsidRPr="008A5843">
        <w:t>жилищно-коммунального</w:t>
      </w:r>
      <w:proofErr w:type="gramEnd"/>
    </w:p>
    <w:p w:rsidR="009153A8" w:rsidRPr="008A5843" w:rsidRDefault="009153A8" w:rsidP="008A5843">
      <w:pPr>
        <w:jc w:val="center"/>
      </w:pPr>
      <w:r w:rsidRPr="008A5843">
        <w:t>хозяйства населения, дорожной деятельности и транспорта</w:t>
      </w:r>
    </w:p>
    <w:p w:rsidR="009153A8" w:rsidRPr="008A5843" w:rsidRDefault="009153A8" w:rsidP="008A5843">
      <w:pPr>
        <w:jc w:val="center"/>
      </w:pPr>
      <w:r w:rsidRPr="008A5843">
        <w:t>Златоустовского городского округа»</w:t>
      </w:r>
    </w:p>
    <w:p w:rsidR="009153A8" w:rsidRPr="008A5843" w:rsidRDefault="009153A8" w:rsidP="008A5843">
      <w:pPr>
        <w:jc w:val="center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8A5843" w:rsidRDefault="009153A8" w:rsidP="008A5843">
      <w:pPr>
        <w:jc w:val="both"/>
      </w:pP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spacing w:val="-6"/>
        </w:rPr>
      </w:pPr>
      <w:r w:rsidRPr="009153A8">
        <w:rPr>
          <w:rFonts w:eastAsia="Calibri"/>
          <w:spacing w:val="-6"/>
        </w:rPr>
        <w:lastRenderedPageBreak/>
        <w:t>Паспорт муниципальной программы Златоустовского городского округа</w:t>
      </w: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spacing w:val="-6"/>
        </w:rPr>
      </w:pPr>
      <w:r w:rsidRPr="009153A8">
        <w:rPr>
          <w:rFonts w:eastAsia="Calibri"/>
          <w:spacing w:val="-6"/>
        </w:rPr>
        <w:t xml:space="preserve">«Обеспечение качественными услугами жилищно-коммунального хозяйства населения, дорожной деятельности и транспорта </w:t>
      </w: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spacing w:val="-6"/>
        </w:rPr>
      </w:pPr>
      <w:r w:rsidRPr="009153A8">
        <w:rPr>
          <w:rFonts w:eastAsia="Calibri"/>
          <w:spacing w:val="-6"/>
        </w:rPr>
        <w:t>Златоустовского городского округа» (далее – муниципальная программа)</w:t>
      </w: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color w:val="000000"/>
          <w:spacing w:val="-6"/>
        </w:rPr>
      </w:pP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3"/>
        <w:gridCol w:w="6556"/>
      </w:tblGrid>
      <w:tr w:rsidR="009153A8" w:rsidRPr="009153A8" w:rsidTr="008A584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D84AF2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 xml:space="preserve">Заместитель </w:t>
            </w:r>
            <w:r w:rsidR="00D84AF2">
              <w:rPr>
                <w:rFonts w:eastAsia="Calibri"/>
                <w:color w:val="000000"/>
                <w:spacing w:val="-6"/>
              </w:rPr>
              <w:t>Г</w:t>
            </w:r>
            <w:r w:rsidRPr="009153A8">
              <w:rPr>
                <w:rFonts w:eastAsia="Calibri"/>
                <w:color w:val="000000"/>
                <w:spacing w:val="-6"/>
              </w:rPr>
              <w:t>лавы Златоустовского городского округа по инфраструктуре</w:t>
            </w:r>
          </w:p>
        </w:tc>
      </w:tr>
      <w:tr w:rsidR="009153A8" w:rsidRPr="009153A8" w:rsidTr="008A584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  <w:r w:rsidR="008A5843">
              <w:rPr>
                <w:rFonts w:eastAsia="Calibri"/>
                <w:color w:val="000000"/>
                <w:spacing w:val="-6"/>
              </w:rPr>
              <w:t xml:space="preserve"> </w:t>
            </w:r>
            <w:r w:rsidRPr="009153A8">
              <w:rPr>
                <w:rFonts w:eastAsia="Calibri"/>
                <w:color w:val="000000"/>
                <w:spacing w:val="-6"/>
              </w:rPr>
              <w:t>(далее – МКУ ЗГО «УЖКХ»)</w:t>
            </w:r>
          </w:p>
        </w:tc>
      </w:tr>
      <w:tr w:rsidR="009153A8" w:rsidRPr="009153A8" w:rsidTr="008A5843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>Соисполнитель</w:t>
            </w:r>
          </w:p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tabs>
                <w:tab w:val="left" w:pos="228"/>
              </w:tabs>
              <w:jc w:val="both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>Администрация Златоустовского городского округа</w:t>
            </w:r>
          </w:p>
        </w:tc>
      </w:tr>
      <w:tr w:rsidR="009153A8" w:rsidRPr="009153A8" w:rsidTr="008A5843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Подпрограммы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843" w:rsidRDefault="008A5843" w:rsidP="008A5843">
            <w:pPr>
              <w:tabs>
                <w:tab w:val="left" w:pos="228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9153A8" w:rsidRPr="009153A8" w:rsidRDefault="008A5843" w:rsidP="008A5843">
            <w:pPr>
              <w:tabs>
                <w:tab w:val="left" w:pos="228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Подпрограмма «Организация дорожной деятельности в Златоустовском городском округе».</w:t>
            </w:r>
          </w:p>
        </w:tc>
      </w:tr>
      <w:tr w:rsidR="009153A8" w:rsidRPr="009153A8" w:rsidTr="008A5843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 xml:space="preserve">Цели муниципальной </w:t>
            </w:r>
          </w:p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numPr>
                <w:ilvl w:val="0"/>
                <w:numId w:val="6"/>
              </w:numPr>
              <w:tabs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color w:val="000000"/>
                <w:spacing w:val="-6"/>
              </w:rPr>
              <w:t>Создание благоприятной среды для безопасных и комфортных условий проживания населения Златоустовского городского округа (далее – округа).</w:t>
            </w:r>
          </w:p>
          <w:p w:rsidR="009153A8" w:rsidRPr="009153A8" w:rsidRDefault="009153A8" w:rsidP="008A5843">
            <w:pPr>
              <w:numPr>
                <w:ilvl w:val="0"/>
                <w:numId w:val="6"/>
              </w:numPr>
              <w:tabs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9153A8">
              <w:rPr>
                <w:rFonts w:eastAsia="Calibri"/>
                <w:spacing w:val="-6"/>
              </w:rPr>
              <w:t>Обеспечение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9153A8" w:rsidRPr="009153A8" w:rsidTr="008A5843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843" w:rsidRDefault="008A5843" w:rsidP="008A5843">
            <w:pPr>
              <w:tabs>
                <w:tab w:val="left" w:pos="-197"/>
                <w:tab w:val="left" w:pos="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="009153A8" w:rsidRPr="009153A8">
              <w:rPr>
                <w:rFonts w:eastAsia="Calibri"/>
                <w:color w:val="000000"/>
                <w:spacing w:val="-6"/>
              </w:rPr>
              <w:t>Обеспечение доступности транспортных услуг.</w:t>
            </w:r>
          </w:p>
          <w:p w:rsidR="008A5843" w:rsidRDefault="008A5843" w:rsidP="008A5843">
            <w:pPr>
              <w:tabs>
                <w:tab w:val="left" w:pos="-197"/>
                <w:tab w:val="left" w:pos="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2. </w:t>
            </w:r>
            <w:r w:rsidR="009153A8" w:rsidRPr="009153A8">
              <w:rPr>
                <w:rFonts w:eastAsia="Calibri"/>
                <w:color w:val="000000"/>
                <w:spacing w:val="-6"/>
              </w:rPr>
              <w:t>Модернизация объектов коммунальной инфраструктуры.</w:t>
            </w:r>
          </w:p>
          <w:p w:rsidR="008A5843" w:rsidRDefault="008A5843" w:rsidP="008A5843">
            <w:pPr>
              <w:tabs>
                <w:tab w:val="left" w:pos="-197"/>
                <w:tab w:val="left" w:pos="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3. </w:t>
            </w:r>
            <w:r w:rsidR="009153A8" w:rsidRPr="009153A8">
              <w:rPr>
                <w:rFonts w:eastAsia="Calibri"/>
                <w:bCs/>
                <w:iCs/>
                <w:color w:val="000000"/>
                <w:spacing w:val="-6"/>
              </w:rPr>
              <w:t>Организация водоснабжения, водоотведения, теплоснабжения и электроснабжения населения.</w:t>
            </w:r>
          </w:p>
          <w:p w:rsidR="008A5843" w:rsidRDefault="008A5843" w:rsidP="008A5843">
            <w:pPr>
              <w:tabs>
                <w:tab w:val="left" w:pos="-197"/>
                <w:tab w:val="left" w:pos="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4. </w:t>
            </w:r>
            <w:r w:rsidR="009153A8" w:rsidRPr="009153A8">
              <w:rPr>
                <w:rFonts w:eastAsia="Calibri"/>
                <w:color w:val="000000"/>
                <w:spacing w:val="-6"/>
              </w:rPr>
              <w:t xml:space="preserve">Создание благоприятных условий для проживания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</w:rPr>
              <w:t>и отдыха жителей округа.</w:t>
            </w:r>
          </w:p>
          <w:p w:rsidR="009153A8" w:rsidRPr="009153A8" w:rsidRDefault="008A5843" w:rsidP="008A5843">
            <w:pPr>
              <w:tabs>
                <w:tab w:val="left" w:pos="-197"/>
                <w:tab w:val="left" w:pos="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5. </w:t>
            </w:r>
            <w:r w:rsidR="009153A8" w:rsidRPr="009153A8">
              <w:rPr>
                <w:rFonts w:eastAsia="Calibri"/>
                <w:bCs/>
                <w:iCs/>
                <w:spacing w:val="-6"/>
              </w:rPr>
              <w:t xml:space="preserve">Обеспечение сохранности автомобильных дорог, дорожных сооружений и поддержание их состояния </w:t>
            </w:r>
            <w:r>
              <w:rPr>
                <w:rFonts w:eastAsia="Calibri"/>
                <w:bCs/>
                <w:iCs/>
                <w:spacing w:val="-6"/>
              </w:rPr>
              <w:br/>
            </w:r>
            <w:r w:rsidR="009153A8" w:rsidRPr="009153A8">
              <w:rPr>
                <w:rFonts w:eastAsia="Calibri"/>
                <w:bCs/>
                <w:iCs/>
                <w:spacing w:val="-6"/>
              </w:rPr>
              <w:t xml:space="preserve">в соответствии с требованиями, допустимыми </w:t>
            </w:r>
            <w:r>
              <w:rPr>
                <w:rFonts w:eastAsia="Calibri"/>
                <w:bCs/>
                <w:iCs/>
                <w:spacing w:val="-6"/>
              </w:rPr>
              <w:br/>
            </w:r>
            <w:r w:rsidR="009153A8" w:rsidRPr="009153A8">
              <w:rPr>
                <w:rFonts w:eastAsia="Calibri"/>
                <w:bCs/>
                <w:iCs/>
                <w:spacing w:val="-6"/>
              </w:rPr>
              <w:t>по условиям обеспечения безопасного дорожного движения.</w:t>
            </w:r>
          </w:p>
        </w:tc>
      </w:tr>
      <w:tr w:rsidR="009153A8" w:rsidRPr="009153A8" w:rsidTr="008A5843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Целевые индикаторы</w:t>
            </w:r>
          </w:p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8A5843" w:rsidP="008A5843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завершенных проектов модернизации объектов коммунальной инфраструктуры </w:t>
            </w:r>
            <w:r w:rsidR="00A30182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с привлечением средств ППК «Фонд развития территорий», ед.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2. 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сетей водоснабжения (участков сетей водоснабжения), на которых проведен капитальный ремонт, 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м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spacing w:val="-6"/>
                <w:lang w:eastAsia="en-US"/>
              </w:rPr>
              <w:t>3. </w:t>
            </w:r>
            <w:r w:rsidR="009153A8" w:rsidRPr="009153A8">
              <w:rPr>
                <w:rFonts w:eastAsia="Calibri"/>
                <w:bCs/>
                <w:iCs/>
                <w:spacing w:val="-6"/>
                <w:lang w:eastAsia="en-US"/>
              </w:rPr>
              <w:t>П</w:t>
            </w:r>
            <w:r w:rsidR="009153A8" w:rsidRPr="009153A8">
              <w:rPr>
                <w:rFonts w:eastAsia="Calibri"/>
                <w:spacing w:val="-6"/>
                <w:lang w:eastAsia="en-US"/>
              </w:rPr>
              <w:t xml:space="preserve">ротяженность тепловых сетей (участков тепловых сетей), на которых проведен капитальный ремонт, </w:t>
            </w:r>
            <w:proofErr w:type="gramStart"/>
            <w:r w:rsidR="009153A8" w:rsidRPr="009153A8">
              <w:rPr>
                <w:rFonts w:eastAsia="Calibri"/>
                <w:spacing w:val="-6"/>
                <w:lang w:eastAsia="en-US"/>
              </w:rPr>
              <w:t>м</w:t>
            </w:r>
            <w:proofErr w:type="gramEnd"/>
            <w:r w:rsidR="009153A8" w:rsidRPr="009153A8">
              <w:rPr>
                <w:rFonts w:eastAsia="Calibri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4. 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завершенного строительства, реконструкции, (модернизации), капитального ремонта объектов тепл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о-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 водоснабжения и водоотведения, предусмотренных региональными комплексными планами, ед.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5. 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объектов капитального строительства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и реконструкции, для которых разработана проектно-сметная документация, государственная экспертиза, ед.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6. </w:t>
            </w:r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 xml:space="preserve">Протяженность проложенных сетей газоснабжения, </w:t>
            </w:r>
            <w:proofErr w:type="gramStart"/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7. 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проложенных сетей водоснабжения, 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8. </w:t>
            </w:r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 xml:space="preserve">Протяженность отремонтированных </w:t>
            </w: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 xml:space="preserve">и смонтированных объектов инженерной инфраструктуры: воздушных электролиний и линий наружного освещения, </w:t>
            </w:r>
            <w:proofErr w:type="gramStart"/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м</w:t>
            </w:r>
            <w:proofErr w:type="gramEnd"/>
            <w:r w:rsidR="009153A8" w:rsidRPr="009153A8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1" w:name="_Hlk89854517"/>
            <w:r>
              <w:rPr>
                <w:rFonts w:eastAsia="Calibri"/>
                <w:color w:val="000000"/>
                <w:spacing w:val="-6"/>
                <w:lang w:eastAsia="en-US"/>
              </w:rPr>
              <w:t>9. 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  <w:proofErr w:type="gramEnd"/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10. 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скверов и парков, на которых обеспечено надлежащее содержание, шт.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11. 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кладбищ, на которых обеспечено надлежащее содержание, шт.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12. 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отремонтированных и установленных лестниц, шт.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13. 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ливневых канализаций, в отношении которых 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проведены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 ремонт и капитальный ремонт,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а также устройство (в том числе проектирование), шт.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14. 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Площадь скверов и парков, подвергшихся противоклещевой обработке, 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га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2" w:name="_Hlk89865208"/>
            <w:r>
              <w:rPr>
                <w:rFonts w:eastAsia="Calibri"/>
                <w:color w:val="000000"/>
                <w:spacing w:val="-6"/>
                <w:lang w:eastAsia="en-US"/>
              </w:rPr>
              <w:t>15. 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отловленных животных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без владельцев, голов.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3" w:name="_Hlk85535219"/>
            <w:bookmarkEnd w:id="2"/>
            <w:r>
              <w:rPr>
                <w:rFonts w:eastAsia="Calibri"/>
                <w:color w:val="000000"/>
                <w:spacing w:val="-6"/>
                <w:lang w:eastAsia="en-US"/>
              </w:rPr>
              <w:t>16. 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демонтированных рекламных конструкций, шт. 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17. 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МКД, в которых установлены приспособления для беспрепятственного передвижения маломобильных групп населения, ед.</w:t>
            </w:r>
            <w:proofErr w:type="gramEnd"/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</w:rPr>
              <w:t>18. </w:t>
            </w:r>
            <w:r w:rsidR="009153A8" w:rsidRPr="009153A8">
              <w:rPr>
                <w:rFonts w:eastAsia="Calibri"/>
                <w:color w:val="000000"/>
                <w:spacing w:val="-6"/>
              </w:rPr>
              <w:t xml:space="preserve">Потребленная электроэнергия, расходуемая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</w:rPr>
              <w:t>на уличное освещение, тыс. кВт.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19. 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линий наружного освещения,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на которых увеличена освещенность поверхности, </w:t>
            </w:r>
            <w:proofErr w:type="gramStart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20. 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замененных аварийных опор (стоек) линий электропередач, шт.</w:t>
            </w:r>
          </w:p>
          <w:bookmarkEnd w:id="3"/>
          <w:p w:rsidR="00A30182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21. 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9153A8" w:rsidRPr="00A30182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22. </w:t>
            </w:r>
            <w:r w:rsidR="009153A8" w:rsidRPr="00A30182">
              <w:rPr>
                <w:rFonts w:eastAsia="Calibri"/>
                <w:color w:val="000000"/>
                <w:spacing w:val="-8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>
              <w:rPr>
                <w:rFonts w:eastAsia="Calibri"/>
                <w:color w:val="000000"/>
                <w:spacing w:val="-8"/>
              </w:rPr>
              <w:br/>
            </w:r>
            <w:r w:rsidR="009153A8" w:rsidRPr="00A30182">
              <w:rPr>
                <w:rFonts w:eastAsia="Calibri"/>
                <w:color w:val="000000"/>
                <w:spacing w:val="-8"/>
              </w:rPr>
              <w:t>в городском сообщении по регулируемому тарифу, маршрут.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23. 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Количество обустроенных объектов транспортной инфраструктуры, шт.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24. 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 xml:space="preserve">Протяженность обособленных объектов транспортной инфраструктуры, </w:t>
            </w:r>
            <w:proofErr w:type="gramStart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25. 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Количество остановочных пунктов, оборудованных для маломобильных групп населения, шт.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26. 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средств, шт.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27. 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Количество транспортных средств, оснащенных оборудованием системы обеспечения безналичной оплаты проезда и провоза багажа, шт.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10"/>
                <w:lang w:eastAsia="en-US"/>
              </w:rPr>
            </w:pPr>
            <w:r>
              <w:rPr>
                <w:rFonts w:eastAsia="Calibri"/>
                <w:color w:val="000000"/>
                <w:spacing w:val="-10"/>
                <w:lang w:eastAsia="en-US"/>
              </w:rPr>
              <w:t>28. </w:t>
            </w:r>
            <w:r w:rsidR="009153A8" w:rsidRPr="009153A8">
              <w:rPr>
                <w:rFonts w:eastAsia="Calibri"/>
                <w:color w:val="000000"/>
                <w:spacing w:val="-10"/>
                <w:lang w:eastAsia="en-US"/>
              </w:rPr>
              <w:t>Количество поездок льготными категориями граждан, ед.</w:t>
            </w:r>
          </w:p>
          <w:p w:rsidR="009153A8" w:rsidRPr="009153A8" w:rsidRDefault="00A30182" w:rsidP="00A30182">
            <w:pPr>
              <w:tabs>
                <w:tab w:val="left" w:pos="-197"/>
                <w:tab w:val="left" w:pos="514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29. 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 xml:space="preserve">Протяженность автомобильных дорог, на которых обеспечено надлежащее содержание, </w:t>
            </w:r>
            <w:proofErr w:type="gramStart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.</w:t>
            </w:r>
          </w:p>
          <w:p w:rsidR="009153A8" w:rsidRPr="009153A8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30. 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 xml:space="preserve">Протяженность нанесенной разметки (продольная), </w:t>
            </w:r>
            <w:proofErr w:type="gramStart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км</w:t>
            </w:r>
            <w:proofErr w:type="gramEnd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31. 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Площадь нанесенной разметки (пешеходный переход), м</w:t>
            </w:r>
            <w:proofErr w:type="gramStart"/>
            <w:r w:rsidR="009153A8" w:rsidRPr="009153A8">
              <w:rPr>
                <w:rFonts w:eastAsia="Calibri"/>
                <w:color w:val="000000"/>
                <w:spacing w:val="-8"/>
                <w:vertAlign w:val="superscript"/>
                <w:lang w:eastAsia="en-US"/>
              </w:rPr>
              <w:t>2</w:t>
            </w:r>
            <w:proofErr w:type="gramEnd"/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32. </w:t>
            </w:r>
            <w:r w:rsidR="009153A8" w:rsidRPr="00A30182">
              <w:rPr>
                <w:rFonts w:eastAsia="Calibri"/>
                <w:color w:val="000000"/>
                <w:spacing w:val="-8"/>
              </w:rPr>
              <w:t xml:space="preserve">Ежегодный прирост протяженности автомобильных дорог общего пользования местного значения, соответствующих нормативным требованиям, </w:t>
            </w:r>
            <w:proofErr w:type="gramStart"/>
            <w:r w:rsidR="009153A8" w:rsidRPr="00A30182">
              <w:rPr>
                <w:rFonts w:eastAsia="Calibri"/>
                <w:color w:val="000000"/>
                <w:spacing w:val="-8"/>
              </w:rPr>
              <w:t>км</w:t>
            </w:r>
            <w:proofErr w:type="gramEnd"/>
            <w:r w:rsidR="009153A8" w:rsidRPr="00A30182">
              <w:rPr>
                <w:rFonts w:eastAsia="Calibri"/>
                <w:color w:val="000000"/>
                <w:spacing w:val="-8"/>
              </w:rPr>
              <w:t>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33. 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 xml:space="preserve">Количество подпорных стен, в отношении которых проведен демонтаж, ремонт, капитальный ремонт, </w:t>
            </w:r>
            <w:r>
              <w:rPr>
                <w:rFonts w:eastAsia="Calibri"/>
                <w:color w:val="000000"/>
                <w:spacing w:val="-8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а также устройство, шт.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34. </w:t>
            </w:r>
            <w:r w:rsidR="009153A8" w:rsidRPr="009153A8">
              <w:rPr>
                <w:rFonts w:eastAsia="Calibri"/>
                <w:color w:val="000000"/>
                <w:spacing w:val="-8"/>
              </w:rPr>
              <w:t>Количество приобретенной дорожно-строительной техники, в том числе навесного оборудования, ед.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35. 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Количество переоборудованных транспортных средств, ед.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lastRenderedPageBreak/>
              <w:t>36. </w:t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 xml:space="preserve">Количество объектов капитального ремонта, </w:t>
            </w:r>
            <w:r>
              <w:rPr>
                <w:rFonts w:eastAsia="Calibri"/>
                <w:color w:val="000000"/>
                <w:spacing w:val="-8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8"/>
                <w:lang w:eastAsia="en-US"/>
              </w:rPr>
              <w:t>для которых разработана проектно-сметная документация, государственная экспертиза, ед.</w:t>
            </w:r>
          </w:p>
          <w:p w:rsid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37. 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обустроенных остановочных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и посадочных площадок на автобусных остановках, шт.</w:t>
            </w:r>
          </w:p>
          <w:p w:rsidR="009153A8" w:rsidRPr="00A30182" w:rsidRDefault="00A30182" w:rsidP="00A30182">
            <w:pPr>
              <w:tabs>
                <w:tab w:val="left" w:pos="-197"/>
              </w:tabs>
              <w:ind w:right="87"/>
              <w:jc w:val="both"/>
              <w:rPr>
                <w:rFonts w:eastAsia="Calibri"/>
                <w:color w:val="000000"/>
                <w:spacing w:val="-8"/>
                <w:lang w:eastAsia="en-US"/>
              </w:rPr>
            </w:pPr>
            <w:r>
              <w:rPr>
                <w:rFonts w:eastAsia="Calibri"/>
                <w:color w:val="000000"/>
                <w:spacing w:val="-8"/>
                <w:lang w:eastAsia="en-US"/>
              </w:rPr>
              <w:t>38. </w:t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разворотных площадок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9153A8" w:rsidRPr="009153A8">
              <w:rPr>
                <w:rFonts w:eastAsia="Calibri"/>
                <w:color w:val="000000"/>
                <w:spacing w:val="-6"/>
                <w:lang w:eastAsia="en-US"/>
              </w:rPr>
              <w:t>на автомобильных дорогах, в отношении которых проведен капитальный ремонт, шт.</w:t>
            </w:r>
          </w:p>
        </w:tc>
      </w:tr>
      <w:tr w:rsidR="009153A8" w:rsidRPr="009153A8" w:rsidTr="008A5843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spacing w:val="-8"/>
              </w:rPr>
            </w:pPr>
            <w:r w:rsidRPr="009153A8">
              <w:rPr>
                <w:rFonts w:eastAsia="Calibri"/>
                <w:spacing w:val="-8"/>
              </w:rPr>
              <w:t>2024-2028 годы</w:t>
            </w:r>
          </w:p>
        </w:tc>
      </w:tr>
      <w:tr w:rsidR="009153A8" w:rsidRPr="009153A8" w:rsidTr="008A5843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</w:pPr>
            <w:r w:rsidRPr="009153A8"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  <w:t xml:space="preserve">Объемы финансовых 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 xml:space="preserve">Общий объем финансирования муниципальной Программы на 2024-2028 годы – </w:t>
            </w:r>
            <w:r w:rsidR="00A30182">
              <w:rPr>
                <w:rFonts w:eastAsia="Calibri"/>
                <w:spacing w:val="-8"/>
                <w:lang w:eastAsia="en-US"/>
              </w:rPr>
              <w:br/>
            </w:r>
            <w:r w:rsidRPr="009153A8">
              <w:rPr>
                <w:rFonts w:eastAsia="Calibri"/>
                <w:spacing w:val="-8"/>
                <w:lang w:eastAsia="en-US"/>
              </w:rPr>
              <w:t>6 267 977,53824 тыс. рублей, в том числе: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2024 год – 1 937 160,27566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2025 год – 1 571 835,27981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2026 год – 1 040 139,67934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2027 год – 850 750,03377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2028 год – 868 092,26966 тыс. рублей</w:t>
            </w:r>
          </w:p>
          <w:p w:rsidR="00A30182" w:rsidRDefault="00A30182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Местный бюджет: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2024 год – 1 312 941,69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2025 год – 1 076 847,99914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2026 год – 748 302,4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2027 год – 715 518,1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2028 год – 715 651,5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ИТОГО: 4 569 261,68914 тыс. рублей</w:t>
            </w:r>
          </w:p>
          <w:p w:rsidR="00A30182" w:rsidRDefault="00A30182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Областной бюджет: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2024 год – 597 473,08566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2025 год – 402 127,26721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2026 год – 276 717,27934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2027 год – 135 231,93377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2028 год – 152 440,76966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ИТОГО: 1 563 990,33564 тыс. рублей</w:t>
            </w:r>
          </w:p>
          <w:p w:rsidR="00A30182" w:rsidRDefault="00A30182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Федеральный бюджет: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2024 год – 26 745,5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2025 год – 92 860,01346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2026 год – 15 120,0 тыс. рублей</w:t>
            </w:r>
          </w:p>
          <w:p w:rsidR="009153A8" w:rsidRPr="009153A8" w:rsidRDefault="009153A8" w:rsidP="008A5843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8"/>
                <w:lang w:eastAsia="en-US"/>
              </w:rPr>
            </w:pPr>
            <w:r w:rsidRPr="009153A8">
              <w:rPr>
                <w:rFonts w:eastAsia="Calibri"/>
                <w:spacing w:val="-8"/>
                <w:lang w:eastAsia="en-US"/>
              </w:rPr>
              <w:t>ИТОГО: 134 725,51346 тыс. рублей</w:t>
            </w:r>
          </w:p>
        </w:tc>
      </w:tr>
      <w:tr w:rsidR="009153A8" w:rsidRPr="009153A8" w:rsidTr="008A5843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3A8" w:rsidRPr="009153A8" w:rsidRDefault="009153A8" w:rsidP="008A5843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</w:pPr>
            <w:bookmarkStart w:id="4" w:name="_Hlk89854642"/>
            <w:r w:rsidRPr="009153A8">
              <w:rPr>
                <w:rFonts w:eastAsia="Arial Unicode MS"/>
                <w:color w:val="000000"/>
                <w:spacing w:val="-8"/>
                <w:kern w:val="1"/>
                <w:lang w:eastAsia="hi-IN" w:bidi="hi-IN"/>
              </w:rPr>
              <w:lastRenderedPageBreak/>
              <w:t xml:space="preserve">Ожидаемые результаты реализации муниципальной программы </w:t>
            </w:r>
            <w:bookmarkEnd w:id="4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182" w:rsidRDefault="00A30182" w:rsidP="00A30182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8"/>
              </w:rPr>
            </w:pPr>
            <w:r>
              <w:rPr>
                <w:rFonts w:eastAsia="Calibri"/>
                <w:color w:val="000000"/>
                <w:spacing w:val="-8"/>
              </w:rPr>
              <w:t>1. </w:t>
            </w:r>
            <w:r w:rsidR="009153A8" w:rsidRPr="009153A8">
              <w:rPr>
                <w:rFonts w:eastAsia="Calibri"/>
                <w:color w:val="000000"/>
                <w:spacing w:val="-8"/>
              </w:rPr>
              <w:t>Достижение уровня удовлетворенности населения организацией транспортного обслуживания до 50,0 %.</w:t>
            </w:r>
          </w:p>
          <w:p w:rsidR="00A30182" w:rsidRDefault="00A30182" w:rsidP="00A30182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8"/>
              </w:rPr>
            </w:pPr>
            <w:r>
              <w:rPr>
                <w:rFonts w:eastAsia="Calibri"/>
                <w:color w:val="000000"/>
                <w:spacing w:val="-8"/>
              </w:rPr>
              <w:t>2. </w:t>
            </w:r>
            <w:r w:rsidR="009153A8" w:rsidRPr="009153A8">
              <w:rPr>
                <w:rFonts w:eastAsia="Calibri"/>
                <w:color w:val="000000"/>
                <w:spacing w:val="-8"/>
              </w:rPr>
              <w:t>Достижение уровня удовлетворенности населения качеством предоставления жилищно-коммунальных услуг до 42,0 %.</w:t>
            </w:r>
          </w:p>
          <w:p w:rsidR="00A30182" w:rsidRDefault="00A30182" w:rsidP="00A30182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8"/>
              </w:rPr>
            </w:pPr>
            <w:r>
              <w:rPr>
                <w:rFonts w:eastAsia="Calibri"/>
                <w:color w:val="000000"/>
                <w:spacing w:val="-8"/>
              </w:rPr>
              <w:t>3. </w:t>
            </w:r>
            <w:r w:rsidR="009153A8" w:rsidRPr="009153A8">
              <w:rPr>
                <w:rFonts w:eastAsia="Calibri"/>
                <w:color w:val="000000"/>
                <w:spacing w:val="-8"/>
              </w:rPr>
              <w:t>Достижение уровня удовлетворенности населения благоустройством территории округа до 41,0 %.</w:t>
            </w:r>
          </w:p>
          <w:p w:rsidR="009153A8" w:rsidRPr="009153A8" w:rsidRDefault="00A30182" w:rsidP="00A30182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8"/>
              </w:rPr>
            </w:pPr>
            <w:r>
              <w:rPr>
                <w:rFonts w:eastAsia="Calibri"/>
                <w:color w:val="000000"/>
                <w:spacing w:val="-8"/>
              </w:rPr>
              <w:t>4. </w:t>
            </w:r>
            <w:r w:rsidR="009153A8" w:rsidRPr="009153A8">
              <w:rPr>
                <w:rFonts w:eastAsia="Calibri"/>
                <w:color w:val="000000"/>
                <w:spacing w:val="-8"/>
              </w:rPr>
              <w:t>Достижение уровня удовлетворенности населения качеством автомобильных дорог до 18,0 %.</w:t>
            </w:r>
          </w:p>
        </w:tc>
      </w:tr>
    </w:tbl>
    <w:p w:rsidR="009153A8" w:rsidRPr="009153A8" w:rsidRDefault="009153A8" w:rsidP="008A5843">
      <w:pPr>
        <w:shd w:val="clear" w:color="auto" w:fill="FFFFFF"/>
        <w:jc w:val="center"/>
        <w:rPr>
          <w:rFonts w:eastAsia="Calibri"/>
          <w:color w:val="000000"/>
          <w:sz w:val="20"/>
          <w:szCs w:val="20"/>
        </w:rPr>
      </w:pP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color w:val="000000"/>
        </w:rPr>
      </w:pPr>
      <w:r w:rsidRPr="009153A8">
        <w:rPr>
          <w:rFonts w:eastAsia="Calibri"/>
          <w:color w:val="000000"/>
        </w:rPr>
        <w:t xml:space="preserve">Раздел </w:t>
      </w:r>
      <w:r w:rsidRPr="009153A8">
        <w:rPr>
          <w:rFonts w:eastAsia="Calibri"/>
          <w:color w:val="000000"/>
          <w:lang w:val="en-US"/>
        </w:rPr>
        <w:t>I</w:t>
      </w:r>
      <w:r w:rsidRPr="009153A8">
        <w:rPr>
          <w:rFonts w:eastAsia="Calibri"/>
          <w:color w:val="000000"/>
        </w:rPr>
        <w:t>. Характеристика текущего состояния сферы жилищно-коммунального</w:t>
      </w: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color w:val="000000"/>
        </w:rPr>
      </w:pPr>
      <w:r w:rsidRPr="009153A8">
        <w:rPr>
          <w:rFonts w:eastAsia="Calibri"/>
          <w:color w:val="000000"/>
        </w:rPr>
        <w:t xml:space="preserve">хозяйства Златоустовского городского округа, </w:t>
      </w:r>
    </w:p>
    <w:p w:rsidR="009153A8" w:rsidRPr="009153A8" w:rsidRDefault="009153A8" w:rsidP="008A5843">
      <w:pPr>
        <w:shd w:val="clear" w:color="auto" w:fill="FFFFFF"/>
        <w:jc w:val="center"/>
        <w:rPr>
          <w:rFonts w:eastAsia="Calibri"/>
          <w:color w:val="000000"/>
        </w:rPr>
      </w:pPr>
      <w:r w:rsidRPr="009153A8">
        <w:rPr>
          <w:rFonts w:eastAsia="Calibri"/>
          <w:color w:val="000000"/>
        </w:rPr>
        <w:t xml:space="preserve">основные показатели и анализ </w:t>
      </w:r>
      <w:proofErr w:type="gramStart"/>
      <w:r w:rsidRPr="009153A8">
        <w:rPr>
          <w:rFonts w:eastAsia="Calibri"/>
          <w:color w:val="000000"/>
        </w:rPr>
        <w:t>социальных</w:t>
      </w:r>
      <w:proofErr w:type="gramEnd"/>
      <w:r w:rsidRPr="009153A8">
        <w:rPr>
          <w:rFonts w:eastAsia="Calibri"/>
          <w:color w:val="000000"/>
        </w:rPr>
        <w:t xml:space="preserve">, финансово-экономических </w:t>
      </w:r>
    </w:p>
    <w:p w:rsidR="009153A8" w:rsidRDefault="009153A8" w:rsidP="008A5843">
      <w:pPr>
        <w:shd w:val="clear" w:color="auto" w:fill="FFFFFF"/>
        <w:jc w:val="center"/>
        <w:rPr>
          <w:rFonts w:eastAsia="Calibri"/>
          <w:color w:val="000000"/>
        </w:rPr>
      </w:pPr>
      <w:r w:rsidRPr="009153A8">
        <w:rPr>
          <w:rFonts w:eastAsia="Calibri"/>
          <w:color w:val="000000"/>
        </w:rPr>
        <w:t>и прочих рисков реализации муниципальной программы</w:t>
      </w:r>
    </w:p>
    <w:p w:rsidR="008F436B" w:rsidRDefault="008F436B" w:rsidP="008F436B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1. </w:t>
      </w:r>
      <w:r w:rsidRPr="001A0E50">
        <w:rPr>
          <w:rFonts w:eastAsia="Calibri"/>
          <w:color w:val="000000"/>
        </w:rPr>
        <w:t xml:space="preserve"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жилищно-коммунального хозяйства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(далее – ЖКХ) с целью </w:t>
      </w:r>
      <w:proofErr w:type="gramStart"/>
      <w:r w:rsidRPr="001A0E50">
        <w:rPr>
          <w:rFonts w:eastAsia="Calibri"/>
          <w:color w:val="000000"/>
        </w:rPr>
        <w:t>повышения качества работы систем жизнеобеспечения населения</w:t>
      </w:r>
      <w:proofErr w:type="gramEnd"/>
      <w:r w:rsidRPr="001A0E50">
        <w:rPr>
          <w:rFonts w:eastAsia="Calibri"/>
          <w:color w:val="000000"/>
        </w:rPr>
        <w:t xml:space="preserve"> и предприятий социальной сферы.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Текущее состояние ЖКХ, объектов коммунальной инфраструктуры, объектов дорожного хозяйства, организация транспортного обслуживания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 благоустройство округа характеризуется следующими основными моментами.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2. </w:t>
      </w:r>
      <w:r w:rsidRPr="001A0E50">
        <w:rPr>
          <w:rFonts w:eastAsia="Calibri"/>
          <w:color w:val="000000"/>
        </w:rPr>
        <w:t>В области объектов коммунальной инфраструктуры (организация электро-, тепл</w:t>
      </w:r>
      <w:proofErr w:type="gramStart"/>
      <w:r w:rsidRPr="001A0E50">
        <w:rPr>
          <w:rFonts w:eastAsia="Calibri"/>
          <w:color w:val="000000"/>
        </w:rPr>
        <w:t>о-</w:t>
      </w:r>
      <w:proofErr w:type="gramEnd"/>
      <w:r w:rsidRPr="001A0E50">
        <w:rPr>
          <w:rFonts w:eastAsia="Calibri"/>
          <w:color w:val="000000"/>
        </w:rPr>
        <w:t>, и водоснабжения населения, водоотведения):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Качество оказания коммунальных услуг находится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на неудовлетворительном уровне и не соответствует не только потребностям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Pr="001A0E50">
        <w:rPr>
          <w:rFonts w:eastAsia="Calibri"/>
          <w:color w:val="000000"/>
        </w:rPr>
        <w:t>Отсутствие долгосрочного планирования развития систем коммунальной инфраструктуры.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Pr="001A0E50">
        <w:rPr>
          <w:rFonts w:eastAsia="Calibri"/>
          <w:color w:val="000000"/>
        </w:rPr>
        <w:t>Морально-технический износ муниципальных объектов жилищно-коммунальной инфраструктуры.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Pr="001A0E50">
        <w:rPr>
          <w:rFonts w:eastAsia="Calibri"/>
          <w:color w:val="000000"/>
        </w:rPr>
        <w:t>Постоянный рост тарифов на энергетические ресурсы.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Pr="001A0E50">
        <w:rPr>
          <w:rFonts w:eastAsia="Calibri"/>
          <w:color w:val="000000"/>
        </w:rPr>
        <w:t>Неэффективный, расточительный расход энергетических ресурсов.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Для повышения </w:t>
      </w:r>
      <w:proofErr w:type="spellStart"/>
      <w:r w:rsidRPr="001A0E50">
        <w:rPr>
          <w:rFonts w:eastAsia="Calibri"/>
          <w:color w:val="000000"/>
        </w:rPr>
        <w:t>энергоэффективности</w:t>
      </w:r>
      <w:proofErr w:type="spellEnd"/>
      <w:r w:rsidRPr="001A0E50">
        <w:rPr>
          <w:rFonts w:eastAsia="Calibri"/>
          <w:color w:val="000000"/>
        </w:rPr>
        <w:t xml:space="preserve"> жилищно-коммунального сектора округа необходимо учитывать объемы потребления энергетических ресурсов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</w:t>
      </w:r>
      <w:proofErr w:type="spellStart"/>
      <w:r w:rsidRPr="001A0E50">
        <w:rPr>
          <w:rFonts w:eastAsia="Calibri"/>
          <w:color w:val="000000"/>
        </w:rPr>
        <w:t>энерг</w:t>
      </w:r>
      <w:proofErr w:type="gramStart"/>
      <w:r w:rsidRPr="001A0E50">
        <w:rPr>
          <w:rFonts w:eastAsia="Calibri"/>
          <w:color w:val="000000"/>
        </w:rPr>
        <w:t>о</w:t>
      </w:r>
      <w:proofErr w:type="spellEnd"/>
      <w:r w:rsidRPr="001A0E50">
        <w:rPr>
          <w:rFonts w:eastAsia="Calibri"/>
          <w:color w:val="000000"/>
        </w:rPr>
        <w:t>-</w:t>
      </w:r>
      <w:proofErr w:type="gramEnd"/>
      <w:r w:rsidRPr="001A0E50">
        <w:rPr>
          <w:rFonts w:eastAsia="Calibri"/>
          <w:color w:val="000000"/>
        </w:rPr>
        <w:t xml:space="preserve"> и </w:t>
      </w:r>
      <w:proofErr w:type="spellStart"/>
      <w:r w:rsidRPr="001A0E50">
        <w:rPr>
          <w:rFonts w:eastAsia="Calibri"/>
          <w:color w:val="000000"/>
        </w:rPr>
        <w:t>ресурсообеспечения</w:t>
      </w:r>
      <w:proofErr w:type="spellEnd"/>
      <w:r w:rsidRPr="001A0E50">
        <w:rPr>
          <w:rFonts w:eastAsia="Calibri"/>
          <w:color w:val="000000"/>
        </w:rPr>
        <w:t xml:space="preserve"> в бюджетной сфере и жилищном фонде,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а также нормативно-законодательное, организационное и информационное обеспечение мероприятий по повышению </w:t>
      </w:r>
      <w:proofErr w:type="spellStart"/>
      <w:r w:rsidRPr="001A0E50">
        <w:rPr>
          <w:rFonts w:eastAsia="Calibri"/>
          <w:color w:val="000000"/>
        </w:rPr>
        <w:t>энергоэффективности</w:t>
      </w:r>
      <w:proofErr w:type="spellEnd"/>
      <w:r w:rsidRPr="001A0E50">
        <w:rPr>
          <w:rFonts w:eastAsia="Calibri"/>
          <w:color w:val="000000"/>
        </w:rPr>
        <w:t>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</w:t>
      </w:r>
      <w:r w:rsidRPr="001A0E50">
        <w:rPr>
          <w:rFonts w:eastAsia="Calibri"/>
          <w:color w:val="000000"/>
        </w:rPr>
        <w:lastRenderedPageBreak/>
        <w:t xml:space="preserve">территориального и инвестиционного планирования посредством разработки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и регулярной актуализации перспективных схем </w:t>
      </w:r>
      <w:proofErr w:type="spellStart"/>
      <w:r w:rsidRPr="001A0E50">
        <w:rPr>
          <w:rFonts w:eastAsia="Calibri"/>
          <w:color w:val="000000"/>
        </w:rPr>
        <w:t>ресурсоснабжения</w:t>
      </w:r>
      <w:proofErr w:type="spellEnd"/>
      <w:r w:rsidRPr="001A0E50">
        <w:rPr>
          <w:rFonts w:eastAsia="Calibri"/>
          <w:color w:val="000000"/>
        </w:rPr>
        <w:t>, программы комплексного развития систем коммунальной инфраструктуры округа.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по модернизации и капитальному ремонту объектов жилищно-коммунальной инфраструктуры.</w:t>
      </w:r>
    </w:p>
    <w:p w:rsidR="001A0E50" w:rsidRPr="001A0E50" w:rsidRDefault="001A0E50" w:rsidP="001A0E50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Реализация мероприятий муниципальной программы позволит: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1A0E50" w:rsidRPr="001A0E50">
        <w:rPr>
          <w:rFonts w:eastAsia="Calibri"/>
          <w:color w:val="000000"/>
        </w:rPr>
        <w:t>Создать условия для планового развития жилищно-коммунального комплекса округа.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1A0E50" w:rsidRPr="001A0E50">
        <w:rPr>
          <w:rFonts w:eastAsia="Calibri"/>
          <w:color w:val="000000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1A0E50" w:rsidRPr="001A0E50">
        <w:rPr>
          <w:rFonts w:eastAsia="Calibri"/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1A0E50" w:rsidRPr="001A0E50">
        <w:rPr>
          <w:rFonts w:eastAsia="Calibri"/>
          <w:color w:val="000000"/>
        </w:rPr>
        <w:t>Содействовать созданию благоприятных условий для развития округа.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3. </w:t>
      </w:r>
      <w:r w:rsidR="001A0E50" w:rsidRPr="001A0E50">
        <w:rPr>
          <w:rFonts w:eastAsia="Calibri"/>
          <w:color w:val="000000"/>
        </w:rPr>
        <w:t>В области объектов дорожного хозяйства: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Дорожное хозяйство является важной составной частью инфраструктуры округа.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По состоянию на 1 января 2025 года общая протяженность автомобильных дорог общего пользования местного значения на территории округа составила 401,1 километра.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На сегодняшний день 354,46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к нормативным требованиям.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proofErr w:type="gramStart"/>
      <w:r w:rsidRPr="001A0E50">
        <w:rPr>
          <w:rFonts w:eastAsia="Calibri"/>
          <w:color w:val="000000"/>
        </w:rPr>
        <w:t xml:space="preserve">Помимо решения вопросов по приведению автомобильных дорог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в соответствие с нормативными требованиями актуальным направлением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в данной сфере</w:t>
      </w:r>
      <w:proofErr w:type="gramEnd"/>
      <w:r w:rsidRPr="001A0E50">
        <w:rPr>
          <w:rFonts w:eastAsia="Calibri"/>
          <w:color w:val="000000"/>
        </w:rPr>
        <w:t xml:space="preserve"> остается текущее содержание автомобильных дорог. Основной задачей в содержании автомобильных дорог является уборка улиц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что сказывается на безопасности дорожного движения.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lastRenderedPageBreak/>
        <w:t xml:space="preserve">Основными операциями по летней уборке улиц является подметание, поливка проезжей части дороги, очистка </w:t>
      </w:r>
      <w:proofErr w:type="spellStart"/>
      <w:r w:rsidRPr="001A0E50">
        <w:rPr>
          <w:rFonts w:eastAsia="Calibri"/>
          <w:color w:val="000000"/>
        </w:rPr>
        <w:t>прибордюрной</w:t>
      </w:r>
      <w:proofErr w:type="spellEnd"/>
      <w:r w:rsidRPr="001A0E50">
        <w:rPr>
          <w:rFonts w:eastAsia="Calibri"/>
          <w:color w:val="000000"/>
        </w:rPr>
        <w:t xml:space="preserve"> зоны, уборка мусора. При зимней уборке дорог и улиц должно обеспечиваться три основных вида работ: 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– борьба со снежно-ледяными образованиями путем своевременного удаления свежевыпавшего, а также уплотненного снега; 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– погрузка и вывоз снега и скола; 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посыпка дорог, направленная на борьбу с гололедом.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 и сохранению их эксплуатационных характеристик.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Ежегодно в рамках выделенного финансирования проводятся следующие виды работ: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установка (ремонт) и поддержание в рабочем состоянии светофорных объектов;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установка и ремонт знаков дорожного движения;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нанесение продольной дорожной разметки и на пешеходных переходах;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устройство искусственных неровностей.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4. </w:t>
      </w:r>
      <w:r w:rsidR="001A0E50" w:rsidRPr="001A0E50">
        <w:rPr>
          <w:rFonts w:eastAsia="Calibri"/>
          <w:color w:val="000000"/>
        </w:rPr>
        <w:t>Организация транспортного обслуживания: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Златоустовский городской округ имеет развитую сеть транспортного сообщения, представленную автомобильным и электротранспортом.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Все население Златоустовского городского округа охвачено транспортным обслуживанием.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 10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Перевозки пассажиров и багажа автомобильным и электротранспортом (трамвай) на территории округа осуществляет Муниципальное унитарное предприятие «Автохозяйство Администрации Златоустовского городского округа».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и электротранспортом общего пользования по </w:t>
      </w:r>
      <w:proofErr w:type="spellStart"/>
      <w:r w:rsidRPr="001A0E50">
        <w:rPr>
          <w:rFonts w:eastAsia="Calibri"/>
          <w:color w:val="000000"/>
        </w:rPr>
        <w:t>внутримуниципальной</w:t>
      </w:r>
      <w:proofErr w:type="spellEnd"/>
      <w:r w:rsidRPr="001A0E50">
        <w:rPr>
          <w:rFonts w:eastAsia="Calibri"/>
          <w:color w:val="000000"/>
        </w:rPr>
        <w:t xml:space="preserve"> маршрутной сети, которая возмещается транспортной организации из местного бюджета.</w:t>
      </w:r>
    </w:p>
    <w:p w:rsidR="001A0E50" w:rsidRPr="001A0E50" w:rsidRDefault="001A0E50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Согласно постановлению Администрации Златоустовского городского округа от 25.10.2016 г. № 460-</w:t>
      </w:r>
      <w:r w:rsidR="000E08C8">
        <w:rPr>
          <w:rFonts w:eastAsia="Calibri"/>
          <w:color w:val="000000"/>
        </w:rPr>
        <w:t>П</w:t>
      </w:r>
      <w:r w:rsidRPr="001A0E50">
        <w:rPr>
          <w:rFonts w:eastAsia="Calibri"/>
          <w:color w:val="000000"/>
        </w:rPr>
        <w:t xml:space="preserve"> «Об установлении на территории Златоустовского городского округа права льготного проезда отдельным категориям граждан и размера льготы по проезду» право льго</w:t>
      </w:r>
      <w:r w:rsidR="00AB2838">
        <w:rPr>
          <w:rFonts w:eastAsia="Calibri"/>
          <w:color w:val="000000"/>
        </w:rPr>
        <w:t xml:space="preserve">тного проезда </w:t>
      </w:r>
      <w:r w:rsidR="00AB2838">
        <w:rPr>
          <w:rFonts w:eastAsia="Calibri"/>
          <w:color w:val="000000"/>
        </w:rPr>
        <w:br/>
        <w:t>на автомобильном</w:t>
      </w:r>
      <w:r w:rsidRPr="001A0E50">
        <w:rPr>
          <w:rFonts w:eastAsia="Calibri"/>
          <w:color w:val="000000"/>
        </w:rPr>
        <w:t xml:space="preserve"> и электротранспорте общего пользования </w:t>
      </w:r>
      <w:r w:rsidR="00AB2838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lastRenderedPageBreak/>
        <w:t xml:space="preserve">по </w:t>
      </w:r>
      <w:proofErr w:type="spellStart"/>
      <w:r w:rsidRPr="001A0E50">
        <w:rPr>
          <w:rFonts w:eastAsia="Calibri"/>
          <w:color w:val="000000"/>
        </w:rPr>
        <w:t>внутримуниципальной</w:t>
      </w:r>
      <w:proofErr w:type="spellEnd"/>
      <w:r w:rsidRPr="001A0E50">
        <w:rPr>
          <w:rFonts w:eastAsia="Calibri"/>
          <w:color w:val="000000"/>
        </w:rPr>
        <w:t xml:space="preserve"> маршрутной сети по регулируемым тарифам имеют отдельные категории граждан.</w:t>
      </w:r>
    </w:p>
    <w:p w:rsidR="001A0E50" w:rsidRPr="001A0E50" w:rsidRDefault="00AB2838" w:rsidP="00AB283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5. </w:t>
      </w:r>
      <w:r w:rsidR="001A0E50" w:rsidRPr="001A0E50">
        <w:rPr>
          <w:rFonts w:eastAsia="Calibri"/>
          <w:color w:val="000000"/>
        </w:rPr>
        <w:t>Организация благоустройства на территории округа: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На территории округа ежедневно ведутся работы по содержанию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(лестницы, пешеходные дорожки). 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Ежегодно в рамках муниципального задания проводятся следующих работы: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 xml:space="preserve">текущее содержание скверов и парков (очистка газонов и выкашивание, посадка и прополка цветников, побелка деревьев, стрижка живой изгороди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прочие виды работ) – 76 267,41 м</w:t>
      </w:r>
      <w:proofErr w:type="gramStart"/>
      <w:r w:rsidR="001A0E50" w:rsidRPr="001A0E50">
        <w:rPr>
          <w:rFonts w:eastAsia="Calibri"/>
          <w:color w:val="000000"/>
        </w:rPr>
        <w:t>2</w:t>
      </w:r>
      <w:proofErr w:type="gramEnd"/>
      <w:r w:rsidR="001A0E50" w:rsidRPr="001A0E50">
        <w:rPr>
          <w:rFonts w:eastAsia="Calibri"/>
          <w:color w:val="000000"/>
        </w:rPr>
        <w:t>.;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текущее содержание объектов озеленения улично-дорожной сети (очистка газонов и выкашивание, посадка и прополка цветников, побелка деревьев, стрижка живой изгороди и прочие виды работ) – 526 302,39 м</w:t>
      </w:r>
      <w:proofErr w:type="gramStart"/>
      <w:r w:rsidR="001A0E50" w:rsidRPr="001A0E50">
        <w:rPr>
          <w:rFonts w:eastAsia="Calibri"/>
          <w:color w:val="000000"/>
        </w:rPr>
        <w:t>2</w:t>
      </w:r>
      <w:proofErr w:type="gramEnd"/>
      <w:r w:rsidR="001A0E50" w:rsidRPr="001A0E50">
        <w:rPr>
          <w:rFonts w:eastAsia="Calibri"/>
          <w:color w:val="000000"/>
        </w:rPr>
        <w:t>.;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 xml:space="preserve">текущее содержание межквартальных и внутриквартальных территорий (очистка газонов, вырезка сухих веток на деревьях, валка деревьев) –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55 270,6 м</w:t>
      </w:r>
      <w:proofErr w:type="gramStart"/>
      <w:r w:rsidR="001A0E50" w:rsidRPr="001A0E50">
        <w:rPr>
          <w:rFonts w:eastAsia="Calibri"/>
          <w:color w:val="000000"/>
        </w:rPr>
        <w:t>2</w:t>
      </w:r>
      <w:proofErr w:type="gramEnd"/>
      <w:r w:rsidR="001A0E50" w:rsidRPr="001A0E50">
        <w:rPr>
          <w:rFonts w:eastAsia="Calibri"/>
          <w:color w:val="000000"/>
        </w:rPr>
        <w:t>.;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текущее содержание лестниц – 8 884,19 м</w:t>
      </w:r>
      <w:proofErr w:type="gramStart"/>
      <w:r w:rsidR="001A0E50" w:rsidRPr="001A0E50">
        <w:rPr>
          <w:rFonts w:eastAsia="Calibri"/>
          <w:color w:val="000000"/>
        </w:rPr>
        <w:t>2</w:t>
      </w:r>
      <w:proofErr w:type="gramEnd"/>
      <w:r w:rsidR="001A0E50" w:rsidRPr="001A0E50">
        <w:rPr>
          <w:rFonts w:eastAsia="Calibri"/>
          <w:color w:val="000000"/>
        </w:rPr>
        <w:t>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 xml:space="preserve">текущее содержание пешеходных дорожек в скверах и парках –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60 063,77 м</w:t>
      </w:r>
      <w:proofErr w:type="gramStart"/>
      <w:r w:rsidR="001A0E50" w:rsidRPr="001A0E50">
        <w:rPr>
          <w:rFonts w:eastAsia="Calibri"/>
          <w:color w:val="000000"/>
        </w:rPr>
        <w:t>2</w:t>
      </w:r>
      <w:proofErr w:type="gramEnd"/>
      <w:r w:rsidR="001A0E50" w:rsidRPr="001A0E50">
        <w:rPr>
          <w:rFonts w:eastAsia="Calibri"/>
          <w:color w:val="000000"/>
        </w:rPr>
        <w:t>.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proofErr w:type="gramStart"/>
      <w:r w:rsidRPr="001A0E50">
        <w:rPr>
          <w:rFonts w:eastAsia="Calibri"/>
          <w:color w:val="000000"/>
        </w:rPr>
        <w:t xml:space="preserve"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 г. № 72-ЗО «О наделении органов местного самоуправления отдельными государственными полномочиями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по организации мероприятий при осуществлении деятельности по обращению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с животными без владельцев», в том числе отлов животных без владельцев,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их транспортировка и немедленная передача в приюты для животных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</w:t>
      </w:r>
      <w:proofErr w:type="gramEnd"/>
      <w:r w:rsidRPr="001A0E50">
        <w:rPr>
          <w:rFonts w:eastAsia="Calibri"/>
          <w:color w:val="000000"/>
        </w:rPr>
        <w:t xml:space="preserve"> мероприятия, проводимые в приютах для животных.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6. </w:t>
      </w:r>
      <w:r w:rsidR="001A0E50" w:rsidRPr="001A0E50">
        <w:rPr>
          <w:rFonts w:eastAsia="Calibri"/>
          <w:color w:val="000000"/>
        </w:rPr>
        <w:t xml:space="preserve">При реализации настоящей муниципальной программы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показателей муниципальной программы.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Риски реализации муниципальной программы можно разделить на две группы: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proofErr w:type="gramStart"/>
      <w:r w:rsidRPr="001A0E50">
        <w:rPr>
          <w:rFonts w:eastAsia="Calibri"/>
          <w:color w:val="000000"/>
        </w:rPr>
        <w:t xml:space="preserve">внешние – наступление или не наступление данных рисков не зависит </w:t>
      </w:r>
      <w:r w:rsidR="00B547EB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от действий ответственного исполнителя муниципальной программы.</w:t>
      </w:r>
      <w:proofErr w:type="gramEnd"/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7. </w:t>
      </w:r>
      <w:r w:rsidR="001A0E50" w:rsidRPr="001A0E50">
        <w:rPr>
          <w:rFonts w:eastAsia="Calibri"/>
          <w:color w:val="000000"/>
        </w:rPr>
        <w:t>Внутренние риски могут являться следствием: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– </w:t>
      </w:r>
      <w:r w:rsidR="001A0E50" w:rsidRPr="001A0E50">
        <w:rPr>
          <w:rFonts w:eastAsia="Calibri"/>
          <w:color w:val="00000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недостаточной оперативности при наступлении внешних рисков реализации муниципальной программы.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Мерами управления внутренними рисками являются: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детальное планирование хода реализации муниципальной программы;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– 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8. Внешние риски могут являться следствием: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1A0E50" w:rsidRPr="001A0E50" w:rsidRDefault="001A0E50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9. </w:t>
      </w:r>
      <w:r w:rsidR="001A0E50" w:rsidRPr="001A0E50">
        <w:rPr>
          <w:rFonts w:eastAsia="Calibri"/>
          <w:color w:val="000000"/>
        </w:rPr>
        <w:t>Анализ и управление риском реализации муниципальной программы обеспечивает: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постоянный учет всех факторов риска, влияющих на достижение цели муниципальной программы;</w:t>
      </w:r>
    </w:p>
    <w:p w:rsidR="001A0E50" w:rsidRPr="001A0E50" w:rsidRDefault="00B547EB" w:rsidP="00B547EB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правильный учет факторов риска, их тщательный анализ и разумная политика по управлению ими.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261CC9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II. Приоритеты и цели муниципальной политики</w:t>
      </w:r>
    </w:p>
    <w:p w:rsidR="001A0E50" w:rsidRPr="001A0E50" w:rsidRDefault="001A0E50" w:rsidP="00261CC9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в сфере жилищно-коммунального хозяйства Злат</w:t>
      </w:r>
      <w:r w:rsidR="00261CC9">
        <w:rPr>
          <w:rFonts w:eastAsia="Calibri"/>
          <w:color w:val="000000"/>
        </w:rPr>
        <w:t xml:space="preserve">оустовского городского округа, </w:t>
      </w:r>
      <w:r w:rsidRPr="001A0E50">
        <w:rPr>
          <w:rFonts w:eastAsia="Calibri"/>
          <w:color w:val="000000"/>
        </w:rPr>
        <w:t>описание основных целей и задач муниципальной программы</w:t>
      </w:r>
    </w:p>
    <w:p w:rsidR="001A0E50" w:rsidRPr="001A0E50" w:rsidRDefault="001A0E50" w:rsidP="00261CC9">
      <w:pPr>
        <w:shd w:val="clear" w:color="auto" w:fill="FFFFFF"/>
        <w:jc w:val="center"/>
        <w:rPr>
          <w:rFonts w:eastAsia="Calibri"/>
          <w:color w:val="000000"/>
        </w:rPr>
      </w:pP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10. </w:t>
      </w:r>
      <w:r w:rsidR="001A0E50" w:rsidRPr="001A0E50">
        <w:rPr>
          <w:rFonts w:eastAsia="Calibri"/>
          <w:color w:val="000000"/>
        </w:rPr>
        <w:t xml:space="preserve">Приоритеты и цели политики округа в сфере ЖКХ определены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и комфортности среды проживания человека, создание условий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для обеспечения охраны жизни и здоровья граждан, их законных прав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11. </w:t>
      </w:r>
      <w:r w:rsidR="001A0E50" w:rsidRPr="001A0E50">
        <w:rPr>
          <w:rFonts w:eastAsia="Calibri"/>
          <w:color w:val="000000"/>
        </w:rPr>
        <w:t>Цели муниципальной программы: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1A0E50" w:rsidRPr="001A0E50">
        <w:rPr>
          <w:rFonts w:eastAsia="Calibri"/>
          <w:color w:val="000000"/>
        </w:rPr>
        <w:t>Создание благоприятной среды для безопасных и комфортных условий проживания населения округа.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1A0E50" w:rsidRPr="001A0E50">
        <w:rPr>
          <w:rFonts w:eastAsia="Calibri"/>
          <w:color w:val="000000"/>
        </w:rPr>
        <w:t xml:space="preserve">Обеспечение безопасного транспортного сообщения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по автомобильным дорогам общего пользования местного значения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совершенствование улично-дорожной сети округа.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12. </w:t>
      </w:r>
      <w:r w:rsidR="001A0E50" w:rsidRPr="001A0E50">
        <w:rPr>
          <w:rFonts w:eastAsia="Calibri"/>
          <w:color w:val="000000"/>
        </w:rPr>
        <w:t>Задачи муниципальной программы: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1A0E50" w:rsidRPr="001A0E50">
        <w:rPr>
          <w:rFonts w:eastAsia="Calibri"/>
          <w:color w:val="000000"/>
        </w:rPr>
        <w:t>Обеспечение доступности транспортных услуг.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1A0E50" w:rsidRPr="001A0E50">
        <w:rPr>
          <w:rFonts w:eastAsia="Calibri"/>
          <w:color w:val="000000"/>
        </w:rPr>
        <w:t>Модернизация объектов коммунальной инфраструктуры.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1A0E50" w:rsidRPr="001A0E50">
        <w:rPr>
          <w:rFonts w:eastAsia="Calibri"/>
          <w:color w:val="000000"/>
        </w:rPr>
        <w:t xml:space="preserve">Организация водоснабжения, водоотведения, теплоснабжения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электроснабжения населения.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1A0E50" w:rsidRPr="001A0E50">
        <w:rPr>
          <w:rFonts w:eastAsia="Calibri"/>
          <w:color w:val="000000"/>
        </w:rPr>
        <w:t>Создание благоприятных условий для проживания и отдыха жителей округа.</w:t>
      </w:r>
    </w:p>
    <w:p w:rsidR="001A0E50" w:rsidRPr="001A0E50" w:rsidRDefault="005B2C54" w:rsidP="005B2C54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 </w:t>
      </w:r>
      <w:r w:rsidR="001A0E50" w:rsidRPr="001A0E50">
        <w:rPr>
          <w:rFonts w:eastAsia="Calibri"/>
          <w:color w:val="000000"/>
        </w:rPr>
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1A0E50" w:rsidRPr="001A0E50" w:rsidRDefault="001A0E50" w:rsidP="005B2C54">
      <w:pPr>
        <w:shd w:val="clear" w:color="auto" w:fill="FFFFFF"/>
        <w:jc w:val="center"/>
        <w:rPr>
          <w:rFonts w:eastAsia="Calibri"/>
          <w:color w:val="000000"/>
        </w:rPr>
      </w:pPr>
    </w:p>
    <w:p w:rsidR="001A0E50" w:rsidRPr="001A0E50" w:rsidRDefault="001A0E50" w:rsidP="005B2C54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III. Прогноз конечных результатов муниципальной программы,</w:t>
      </w:r>
    </w:p>
    <w:p w:rsidR="001A0E50" w:rsidRPr="001A0E50" w:rsidRDefault="001A0E50" w:rsidP="005B2C54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характеризирующих целевое состояние (изменен</w:t>
      </w:r>
      <w:r w:rsidR="005B2C54">
        <w:rPr>
          <w:rFonts w:eastAsia="Calibri"/>
          <w:color w:val="000000"/>
        </w:rPr>
        <w:t xml:space="preserve">ие состояния) уровня </w:t>
      </w:r>
      <w:r w:rsidR="005B2C54">
        <w:rPr>
          <w:rFonts w:eastAsia="Calibri"/>
          <w:color w:val="000000"/>
        </w:rPr>
        <w:br/>
        <w:t xml:space="preserve">и качества </w:t>
      </w:r>
      <w:r w:rsidRPr="001A0E50">
        <w:rPr>
          <w:rFonts w:eastAsia="Calibri"/>
          <w:color w:val="000000"/>
        </w:rPr>
        <w:t>жизни населения, социальной сферы экономики, общественной безопасности,</w:t>
      </w:r>
      <w:r w:rsidR="005B2C54">
        <w:rPr>
          <w:rFonts w:eastAsia="Calibri"/>
          <w:color w:val="000000"/>
        </w:rPr>
        <w:t xml:space="preserve"> </w:t>
      </w:r>
      <w:r w:rsidRPr="001A0E50">
        <w:rPr>
          <w:rFonts w:eastAsia="Calibri"/>
          <w:color w:val="000000"/>
        </w:rPr>
        <w:t>степени реализации других общественно значимых интересов</w:t>
      </w:r>
    </w:p>
    <w:p w:rsidR="001A0E50" w:rsidRPr="001A0E50" w:rsidRDefault="001A0E50" w:rsidP="005B2C54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и потребностей в жилищно-коммунальной сфере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13. </w:t>
      </w:r>
      <w:r w:rsidR="001A0E50" w:rsidRPr="001A0E50">
        <w:rPr>
          <w:rFonts w:eastAsia="Calibri"/>
          <w:color w:val="000000"/>
        </w:rPr>
        <w:t xml:space="preserve">Реализация муниципальной программы может обеспечить достижение следующих результатов: </w:t>
      </w: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1. </w:t>
      </w:r>
      <w:r w:rsidR="001A0E50" w:rsidRPr="001A0E50">
        <w:rPr>
          <w:rFonts w:eastAsia="Calibri"/>
          <w:color w:val="000000"/>
        </w:rPr>
        <w:t>Достижение уровня удовлетворенности населения организацией транспортного обслуживания до 50,0 %.</w:t>
      </w: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2. </w:t>
      </w:r>
      <w:r w:rsidR="001A0E50" w:rsidRPr="001A0E50">
        <w:rPr>
          <w:rFonts w:eastAsia="Calibri"/>
          <w:color w:val="000000"/>
        </w:rPr>
        <w:t>Достижение уровня удовлетворенности населения качеством предоставления жилищно-коммунальных услуг до 42,0 %.</w:t>
      </w: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3. </w:t>
      </w:r>
      <w:r w:rsidR="001A0E50" w:rsidRPr="001A0E50">
        <w:rPr>
          <w:rFonts w:eastAsia="Calibri"/>
          <w:color w:val="000000"/>
        </w:rPr>
        <w:t>Достижение уровня удовлетворенности населения благоустройством территории округа до 41,0 %.</w:t>
      </w: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4. </w:t>
      </w:r>
      <w:r w:rsidR="001A0E50" w:rsidRPr="001A0E50">
        <w:rPr>
          <w:rFonts w:eastAsia="Calibri"/>
          <w:color w:val="000000"/>
        </w:rPr>
        <w:t>Достижение уровня удовлетворенности населения качеством автомобильных дорог до 18,0 %.</w:t>
      </w:r>
    </w:p>
    <w:p w:rsidR="001A0E50" w:rsidRPr="001A0E50" w:rsidRDefault="001A0E50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0260F3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IV. Сроки реализации муниципальной программы в целом,</w:t>
      </w:r>
    </w:p>
    <w:p w:rsidR="001A0E50" w:rsidRPr="001A0E50" w:rsidRDefault="001A0E50" w:rsidP="000260F3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контрольные этапы и сроки их реализации с указанием</w:t>
      </w:r>
    </w:p>
    <w:p w:rsidR="001A0E50" w:rsidRPr="001A0E50" w:rsidRDefault="001A0E50" w:rsidP="000260F3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промежуточных целевых индикаторов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14. </w:t>
      </w:r>
      <w:r w:rsidR="001A0E50" w:rsidRPr="001A0E50">
        <w:rPr>
          <w:rFonts w:eastAsia="Calibri"/>
          <w:color w:val="000000"/>
        </w:rPr>
        <w:t xml:space="preserve">Муниципальная программа реализуется в 2024-2028 годах. Этапы реализации муниципальной программы не предусматриваются,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так как программные мероприятия будут реализовываться весь период.</w:t>
      </w:r>
    </w:p>
    <w:p w:rsidR="001A0E50" w:rsidRPr="001A0E50" w:rsidRDefault="000260F3" w:rsidP="000260F3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15. </w:t>
      </w:r>
      <w:r w:rsidR="001A0E50" w:rsidRPr="001A0E50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0260F3" w:rsidRDefault="000260F3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0260F3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V. Перечень мероприятий муниципальной программы,</w:t>
      </w:r>
    </w:p>
    <w:p w:rsidR="001A0E50" w:rsidRDefault="001A0E50" w:rsidP="000260F3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с указанием сроков их реализации, ответственного исполнителя </w:t>
      </w:r>
      <w:r w:rsidR="000260F3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 соисполнителей, а также ожидаемых результатов (целевых индикаторов)</w:t>
      </w:r>
    </w:p>
    <w:p w:rsidR="000260F3" w:rsidRPr="001A0E50" w:rsidRDefault="000260F3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3E480C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16. </w:t>
      </w:r>
      <w:r w:rsidR="001A0E50" w:rsidRPr="001A0E50">
        <w:rPr>
          <w:rFonts w:eastAsia="Calibri"/>
          <w:color w:val="000000"/>
        </w:rPr>
        <w:t xml:space="preserve">Перечень мероприятий муниципальной программы представлен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в приложении 1 к муниципальной программе.</w:t>
      </w:r>
    </w:p>
    <w:p w:rsidR="001A0E50" w:rsidRPr="001A0E50" w:rsidRDefault="003E480C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16-1. </w:t>
      </w:r>
      <w:r w:rsidR="001A0E50" w:rsidRPr="001A0E50">
        <w:rPr>
          <w:rFonts w:eastAsia="Calibri"/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в приложении 2 к муниципальной программе.</w:t>
      </w:r>
    </w:p>
    <w:p w:rsidR="001A0E50" w:rsidRPr="001A0E50" w:rsidRDefault="001A0E50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16-2</w:t>
      </w:r>
      <w:r w:rsidR="003E480C">
        <w:rPr>
          <w:rFonts w:eastAsia="Calibri"/>
          <w:color w:val="000000"/>
        </w:rPr>
        <w:t>. </w:t>
      </w:r>
      <w:r w:rsidRPr="001A0E50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3E480C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VI.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положений</w:t>
      </w:r>
    </w:p>
    <w:p w:rsidR="001A0E50" w:rsidRPr="001A0E50" w:rsidRDefault="001A0E50" w:rsidP="003E480C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и сроков принятия необходимых нормативных правовых актов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17. </w:t>
      </w:r>
      <w:r w:rsidR="001A0E50" w:rsidRPr="001A0E50">
        <w:rPr>
          <w:rFonts w:eastAsia="Calibri"/>
          <w:color w:val="000000"/>
        </w:rPr>
        <w:t xml:space="preserve">В ходе реализации мероприятий муниципальной программы МКУ ЗГО «УЖКХ» руководствуется следующими федеральными, региональными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муниципальными нормативно-правовыми актами: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1A0E50" w:rsidRPr="001A0E50">
        <w:rPr>
          <w:rFonts w:eastAsia="Calibri"/>
          <w:color w:val="000000"/>
        </w:rPr>
        <w:t>Федеральный закон от 06.10.2003 г. № 131-ФЗ «Об общих принципах организации местного самоуправления в Российской Федерации».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1A0E50" w:rsidRPr="001A0E50">
        <w:rPr>
          <w:rFonts w:eastAsia="Calibri"/>
          <w:color w:val="000000"/>
        </w:rPr>
        <w:t xml:space="preserve">Закон Челябинской области от 06.10.2016 г. № 430-ЗО «О порядке </w:t>
      </w:r>
      <w:proofErr w:type="gramStart"/>
      <w:r w:rsidR="001A0E50" w:rsidRPr="001A0E50">
        <w:rPr>
          <w:rFonts w:eastAsia="Calibri"/>
          <w:color w:val="000000"/>
        </w:rPr>
        <w:t>установления необходимости проведения капитального ремонта общего имущества</w:t>
      </w:r>
      <w:proofErr w:type="gramEnd"/>
      <w:r w:rsidR="001A0E50" w:rsidRPr="001A0E50">
        <w:rPr>
          <w:rFonts w:eastAsia="Calibri"/>
          <w:color w:val="000000"/>
        </w:rPr>
        <w:t xml:space="preserve"> в многоквартирном доме и наделении органов местного самоуправления отдельными государственными полномочиями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по установлению необходимости проведения капитального ремонта общего имущества в многоквартирном доме».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19.04.2012 г. № 14-ЗГО «Об утверждении Положения о МКУ ЗГО «Управление жилищно-коммунального хозяйства».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21.12.2016 г. № 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округа».  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12.12.2013 г. № 60-ЗГО «О муниципальном дорожном фонде Златоустовского городского округа».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7)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от 30.12.2005 г. № 101-ЗГО «Об утверждении Положения о благоустройстве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жизнеобеспечении Златоустовского городского округа».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06.07.2012 г. № 30-ЗГО «Об утверждении Правил благоустройства территории Златоустовского городского округа».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9) </w:t>
      </w:r>
      <w:r w:rsidR="001A0E50" w:rsidRPr="001A0E50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22.12.2008 г. № 130-ЗГО «Об утверждении Положения «Об организации электро-, тепл</w:t>
      </w:r>
      <w:proofErr w:type="gramStart"/>
      <w:r w:rsidR="001A0E50" w:rsidRPr="001A0E50">
        <w:rPr>
          <w:rFonts w:eastAsia="Calibri"/>
          <w:color w:val="000000"/>
        </w:rPr>
        <w:t>о-</w:t>
      </w:r>
      <w:proofErr w:type="gramEnd"/>
      <w:r w:rsidR="001A0E50" w:rsidRPr="001A0E50">
        <w:rPr>
          <w:rFonts w:eastAsia="Calibri"/>
          <w:color w:val="000000"/>
        </w:rPr>
        <w:t>, газо-, водоснабжения населения, водоотведения на территории Златоустовского городского округа».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02.03.2023 г. № 66-П/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возмещения транспортным организациям затрат, связанных с предоставлением льгот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права бесплатного проезда отдельным категориям граждан на автомобильном и электротранспорте общего пользования».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14.03.2022 г. № 90-П/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Положения об организации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и проведении мероприятий по капитальному ремонту общего имущества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в многоквартирных домах».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17.03.2022 г. № 96-П/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субсидий юридическим лицам на капитальный ремонт общего имущества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в многоквартирных домах, являющихся объектами культурного наследия» (утратило силу с 15.04.2025 г.).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26.05.2021 г. № 266-П/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субсидий юридическим лицам на капитальный ремонт тепловых сетей» (утратило силу с 15.04.2025 г.). 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27.05.2021 г. № 272-П/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субсидий юридическим лицам на капитальный ремонт сетей водоснабжения» (утратило силу с 15.04.2025 г.).  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17.04.2025 г. № 144-П/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финансовое обеспечение затрат общества с ограниченной ответственностью «Златоустовский Водоканал» на капитальный ремонт сетей водоснабжения, водоотведения».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29.08.2013 г. № 344-П «О возложении полномочий».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25.10.2016 г. № 460-</w:t>
      </w:r>
      <w:r w:rsidR="00DA315F">
        <w:rPr>
          <w:rFonts w:eastAsia="Calibri"/>
          <w:color w:val="000000"/>
        </w:rPr>
        <w:t>П</w:t>
      </w:r>
      <w:r w:rsidR="001A0E50" w:rsidRPr="001A0E50">
        <w:rPr>
          <w:rFonts w:eastAsia="Calibri"/>
          <w:color w:val="000000"/>
        </w:rPr>
        <w:t xml:space="preserve"> «Об установлении на территории ЗГО права льготного проезда отдельным категориям граждан и размера льготы по проезду».</w:t>
      </w:r>
    </w:p>
    <w:p w:rsidR="001A0E50" w:rsidRPr="001A0E50" w:rsidRDefault="009B2E91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01.11.2017 г. № 473-П «О возложении полномочий».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19) </w:t>
      </w:r>
      <w:r w:rsidR="001A0E50" w:rsidRPr="001A0E50">
        <w:rPr>
          <w:rFonts w:eastAsia="Calibri"/>
          <w:color w:val="000000"/>
        </w:rPr>
        <w:t xml:space="preserve">Постановление Главы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от 08.07.2008 г. № 160-п «Об утверждении Положения «Об организации строительства, реконструкции, капитального, текущего ремонтов и текущего </w:t>
      </w:r>
      <w:proofErr w:type="gramStart"/>
      <w:r w:rsidR="001A0E50" w:rsidRPr="001A0E50">
        <w:rPr>
          <w:rFonts w:eastAsia="Calibri"/>
          <w:color w:val="000000"/>
        </w:rPr>
        <w:t>содержания</w:t>
      </w:r>
      <w:proofErr w:type="gramEnd"/>
      <w:r w:rsidR="001A0E50" w:rsidRPr="001A0E50">
        <w:rPr>
          <w:rFonts w:eastAsia="Calibri"/>
          <w:color w:val="000000"/>
        </w:rPr>
        <w:t xml:space="preserve"> автомобильных дорог на территории Златоустовского городского округа».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07.08.2025 г. № 285-П/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финансовое обеспечение затрат МУП «Коммунальные сети» ЗГО на капитальный ремонт тепловых сетей».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21) </w:t>
      </w:r>
      <w:r w:rsidR="001A0E50" w:rsidRPr="001A0E50">
        <w:rPr>
          <w:rFonts w:eastAsia="Calibri"/>
          <w:color w:val="000000"/>
        </w:rPr>
        <w:t>Постановление Администрации Златоустовского городского округа от 06.08.2025 г. № 284-П/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финансовое обеспечение затрат МУП ЗГО «</w:t>
      </w:r>
      <w:proofErr w:type="spellStart"/>
      <w:r w:rsidR="001A0E50" w:rsidRPr="001A0E50">
        <w:rPr>
          <w:rFonts w:eastAsia="Calibri"/>
          <w:color w:val="000000"/>
        </w:rPr>
        <w:t>Златоустовское</w:t>
      </w:r>
      <w:proofErr w:type="spellEnd"/>
      <w:r w:rsidR="001A0E50" w:rsidRPr="001A0E50">
        <w:rPr>
          <w:rFonts w:eastAsia="Calibri"/>
          <w:color w:val="000000"/>
        </w:rPr>
        <w:t xml:space="preserve"> водоснабжение» на капитальный ремонт сетей водоснабжения».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06.08.2025 г. № 283-П/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финансовое обеспечение затрат МУП «Автохозяйство администрации ЗГО» на поставку и монтаж оборудования систем обеспечения безналичной оплаты проезда и провоза багажа».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28.08.2025 г. № 320-П/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финансовое обеспечение затрат муниципальному унитарному предприятию «Автохозяйство администрации Златоустовского городского округа» на приобретение светильников уличного освещения и стоек (опор) линий электропередач».</w:t>
      </w:r>
    </w:p>
    <w:p w:rsidR="001A0E50" w:rsidRPr="001A0E50" w:rsidRDefault="00B07B14" w:rsidP="003E480C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24) </w:t>
      </w:r>
      <w:r w:rsidR="001A0E50" w:rsidRPr="001A0E50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от 28.08.2025 г. № 319-П/</w:t>
      </w:r>
      <w:proofErr w:type="gramStart"/>
      <w:r w:rsidR="001A0E50" w:rsidRPr="001A0E50">
        <w:rPr>
          <w:rFonts w:eastAsia="Calibri"/>
          <w:color w:val="000000"/>
        </w:rPr>
        <w:t>АДМ</w:t>
      </w:r>
      <w:proofErr w:type="gramEnd"/>
      <w:r w:rsidR="001A0E50" w:rsidRPr="001A0E50">
        <w:rPr>
          <w:rFonts w:eastAsia="Calibri"/>
          <w:color w:val="000000"/>
        </w:rPr>
        <w:t xml:space="preserve"> «Об утверждении Порядка предоставления субсидии на возмещение затрат акционерному обществу «</w:t>
      </w:r>
      <w:proofErr w:type="spellStart"/>
      <w:r w:rsidR="001A0E50" w:rsidRPr="001A0E50">
        <w:rPr>
          <w:rFonts w:eastAsia="Calibri"/>
          <w:color w:val="000000"/>
        </w:rPr>
        <w:t>Челябоблкоммунэнерго</w:t>
      </w:r>
      <w:proofErr w:type="spellEnd"/>
      <w:r w:rsidR="001A0E50" w:rsidRPr="001A0E50">
        <w:rPr>
          <w:rFonts w:eastAsia="Calibri"/>
          <w:color w:val="000000"/>
        </w:rPr>
        <w:t>» на капитальный ремонт тепловых сетей».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3E480C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VII. Перечень и краткое описание подпрограмм</w:t>
      </w:r>
    </w:p>
    <w:p w:rsidR="001A0E50" w:rsidRPr="001A0E50" w:rsidRDefault="001A0E50" w:rsidP="003E480C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муниципальной программы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18. </w:t>
      </w:r>
      <w:r w:rsidR="001A0E50" w:rsidRPr="001A0E50">
        <w:rPr>
          <w:rFonts w:eastAsia="Calibri"/>
          <w:color w:val="000000"/>
        </w:rPr>
        <w:t>Муниципальная программа состоит из 2 (двух) подпрограмм:</w:t>
      </w:r>
    </w:p>
    <w:p w:rsidR="001A0E50" w:rsidRPr="001A0E50" w:rsidRDefault="001A0E50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1)</w:t>
      </w:r>
      <w:r w:rsidRPr="001A0E50">
        <w:rPr>
          <w:rFonts w:eastAsia="Calibri"/>
          <w:color w:val="000000"/>
        </w:rPr>
        <w:tab/>
        <w:t xml:space="preserve">Подпрограмма «Мероприятия в сфере жилищно-коммунального хозяйства Златоустовского городского округа» (приложение 4 </w:t>
      </w:r>
      <w:r w:rsidR="00FD43F7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к муниципальной программе). Включает комплекс мероприятий направленных </w:t>
      </w:r>
      <w:proofErr w:type="gramStart"/>
      <w:r w:rsidRPr="001A0E50">
        <w:rPr>
          <w:rFonts w:eastAsia="Calibri"/>
          <w:color w:val="000000"/>
        </w:rPr>
        <w:t>на</w:t>
      </w:r>
      <w:proofErr w:type="gramEnd"/>
      <w:r w:rsidRPr="001A0E50">
        <w:rPr>
          <w:rFonts w:eastAsia="Calibri"/>
          <w:color w:val="000000"/>
        </w:rPr>
        <w:t>: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1.1) </w:t>
      </w:r>
      <w:r w:rsidR="001A0E50" w:rsidRPr="001A0E50">
        <w:rPr>
          <w:rFonts w:eastAsia="Calibri"/>
          <w:color w:val="000000"/>
        </w:rPr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1.2) </w:t>
      </w:r>
      <w:r w:rsidR="001A0E50" w:rsidRPr="001A0E50">
        <w:rPr>
          <w:rFonts w:eastAsia="Calibri"/>
          <w:color w:val="000000"/>
        </w:rPr>
        <w:t>Улучшение качества и количества предоставляемых жилищно-коммунальных и транспортных услуг населению.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1.3) </w:t>
      </w:r>
      <w:r w:rsidR="001A0E50" w:rsidRPr="001A0E50">
        <w:rPr>
          <w:rFonts w:eastAsia="Calibri"/>
          <w:color w:val="000000"/>
        </w:rPr>
        <w:t xml:space="preserve">Создание благоприятных и комфортных условий для проживания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отдыха жителей округа, повышение уровня благоустройства.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1.4) </w:t>
      </w:r>
      <w:r w:rsidR="001A0E50" w:rsidRPr="001A0E50">
        <w:rPr>
          <w:rFonts w:eastAsia="Calibri"/>
          <w:color w:val="000000"/>
        </w:rPr>
        <w:t>Повышение качества управления жилищно-коммунальной сферой.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1.5) </w:t>
      </w:r>
      <w:r w:rsidR="001A0E50" w:rsidRPr="001A0E50">
        <w:rPr>
          <w:rFonts w:eastAsia="Calibri"/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1A0E50" w:rsidRPr="001A0E50">
        <w:rPr>
          <w:rFonts w:eastAsia="Calibri"/>
          <w:color w:val="000000"/>
        </w:rPr>
        <w:t xml:space="preserve">Подпрограмма «Организация дорожной деятельности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в Златоустовском городском округе» (приложение 5 к муниципальной программе). Включает комплекс мероприятий направленных </w:t>
      </w:r>
      <w:proofErr w:type="gramStart"/>
      <w:r w:rsidR="001A0E50" w:rsidRPr="001A0E50">
        <w:rPr>
          <w:rFonts w:eastAsia="Calibri"/>
          <w:color w:val="000000"/>
        </w:rPr>
        <w:t>на</w:t>
      </w:r>
      <w:proofErr w:type="gramEnd"/>
      <w:r w:rsidR="001A0E50" w:rsidRPr="001A0E50">
        <w:rPr>
          <w:rFonts w:eastAsia="Calibri"/>
          <w:color w:val="000000"/>
        </w:rPr>
        <w:t>: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2.1) </w:t>
      </w:r>
      <w:r w:rsidR="001A0E50" w:rsidRPr="001A0E50">
        <w:rPr>
          <w:rFonts w:eastAsia="Calibri"/>
          <w:color w:val="000000"/>
        </w:rPr>
        <w:t xml:space="preserve">Обеспечение сохранности и </w:t>
      </w:r>
      <w:proofErr w:type="gramStart"/>
      <w:r w:rsidR="001A0E50" w:rsidRPr="001A0E50">
        <w:rPr>
          <w:rFonts w:eastAsia="Calibri"/>
          <w:color w:val="000000"/>
        </w:rPr>
        <w:t>развития</w:t>
      </w:r>
      <w:proofErr w:type="gramEnd"/>
      <w:r w:rsidR="001A0E50" w:rsidRPr="001A0E50">
        <w:rPr>
          <w:rFonts w:eastAsia="Calibri"/>
          <w:color w:val="000000"/>
        </w:rPr>
        <w:t xml:space="preserve"> автомобильных дорог, инженерных сооружений на них и пешеходных тротуаров, улучшение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их технического состояния.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2.2) </w:t>
      </w:r>
      <w:r w:rsidR="001A0E50" w:rsidRPr="001A0E50">
        <w:rPr>
          <w:rFonts w:eastAsia="Calibri"/>
          <w:color w:val="000000"/>
        </w:rPr>
        <w:t>Повышение эффективности управления безопасностью дорожного движения.</w:t>
      </w:r>
    </w:p>
    <w:p w:rsidR="001A0E50" w:rsidRPr="001A0E50" w:rsidRDefault="00FD43F7" w:rsidP="00FD43F7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2.3) </w:t>
      </w:r>
      <w:r w:rsidR="001A0E50" w:rsidRPr="001A0E50">
        <w:rPr>
          <w:rFonts w:eastAsia="Calibri"/>
          <w:color w:val="000000"/>
        </w:rPr>
        <w:t>Ликвидацию и профилактику возникновения очагов аварийности.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1A0E50" w:rsidP="00FD43F7">
      <w:pPr>
        <w:shd w:val="clear" w:color="auto" w:fill="FFFFFF"/>
        <w:jc w:val="center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Раздел VIII. Обоснование состава и значений соответствующих целевых индикаторов и показателей муниципальной прог</w:t>
      </w:r>
      <w:r w:rsidR="00FD43F7">
        <w:rPr>
          <w:rFonts w:eastAsia="Calibri"/>
          <w:color w:val="000000"/>
        </w:rPr>
        <w:t xml:space="preserve">раммы по этапам </w:t>
      </w:r>
      <w:r w:rsidR="00FD43F7">
        <w:rPr>
          <w:rFonts w:eastAsia="Calibri"/>
          <w:color w:val="000000"/>
        </w:rPr>
        <w:br/>
        <w:t xml:space="preserve">ее реализации, </w:t>
      </w:r>
      <w:r w:rsidRPr="001A0E50">
        <w:rPr>
          <w:rFonts w:eastAsia="Calibri"/>
          <w:color w:val="000000"/>
        </w:rPr>
        <w:t>оценка влияния внешних факторов и условий на их достижение</w:t>
      </w:r>
    </w:p>
    <w:p w:rsidR="001A0E50" w:rsidRPr="001A0E50" w:rsidRDefault="001A0E50" w:rsidP="001A0E50">
      <w:pPr>
        <w:shd w:val="clear" w:color="auto" w:fill="FFFFFF"/>
        <w:jc w:val="both"/>
        <w:rPr>
          <w:rFonts w:eastAsia="Calibri"/>
          <w:color w:val="000000"/>
        </w:rPr>
      </w:pP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19. </w:t>
      </w:r>
      <w:r w:rsidR="001A0E50" w:rsidRPr="001A0E50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Состав целевых индикаторов муниципальной программы определен исходя из принципа необходимости и достаточности информации </w:t>
      </w:r>
      <w:r w:rsidR="006E0D5D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Перечень целевых индикаторов носит открытый характер </w:t>
      </w:r>
      <w:r w:rsidR="006E0D5D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6E0D5D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6E0D5D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20. </w:t>
      </w:r>
      <w:r w:rsidR="001A0E50" w:rsidRPr="001A0E50">
        <w:rPr>
          <w:rFonts w:eastAsia="Calibri"/>
          <w:color w:val="000000"/>
        </w:rPr>
        <w:t xml:space="preserve">При реализации настоящей муниципальной программы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 xml:space="preserve"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</w:t>
      </w:r>
      <w:r>
        <w:rPr>
          <w:rFonts w:eastAsia="Calibri"/>
          <w:color w:val="000000"/>
        </w:rPr>
        <w:br/>
      </w:r>
      <w:r w:rsidR="001A0E50" w:rsidRPr="001A0E50">
        <w:rPr>
          <w:rFonts w:eastAsia="Calibri"/>
          <w:color w:val="000000"/>
        </w:rPr>
        <w:t>и показателей муниципальной программы.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Риски реализации муниципальной программы можно разделить на две группы: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proofErr w:type="gramStart"/>
      <w:r w:rsidRPr="001A0E50">
        <w:rPr>
          <w:rFonts w:eastAsia="Calibri"/>
          <w:color w:val="000000"/>
        </w:rPr>
        <w:lastRenderedPageBreak/>
        <w:t xml:space="preserve">внешние – наступление или не наступление данных рисков не зависит </w:t>
      </w:r>
      <w:r w:rsidR="006E0D5D">
        <w:rPr>
          <w:rFonts w:eastAsia="Calibri"/>
          <w:color w:val="000000"/>
        </w:rPr>
        <w:br/>
      </w:r>
      <w:r w:rsidRPr="001A0E50">
        <w:rPr>
          <w:rFonts w:eastAsia="Calibri"/>
          <w:color w:val="000000"/>
        </w:rPr>
        <w:t>от действий ответственного исполнителя муниципальной программы.</w:t>
      </w:r>
      <w:proofErr w:type="gramEnd"/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21. </w:t>
      </w:r>
      <w:r w:rsidR="001A0E50" w:rsidRPr="001A0E50">
        <w:rPr>
          <w:rFonts w:eastAsia="Calibri"/>
          <w:color w:val="000000"/>
        </w:rPr>
        <w:t>Внутренние риски могут являться следствием: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недостаточной оперативности при наступлении внешних рисков реализации муниципальной программы.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Мерами управления внутренними рисками являются: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детальное планирование хода реализации муниципальной программы;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22. </w:t>
      </w:r>
      <w:r w:rsidR="001A0E50" w:rsidRPr="001A0E50">
        <w:rPr>
          <w:rFonts w:eastAsia="Calibri"/>
          <w:color w:val="000000"/>
        </w:rPr>
        <w:t>Внешние риски могут являться следствием: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1A0E50" w:rsidRPr="001A0E50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1A0E50">
        <w:rPr>
          <w:rFonts w:eastAsia="Calibri"/>
          <w:color w:val="00000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23. </w:t>
      </w:r>
      <w:r w:rsidR="001A0E50" w:rsidRPr="001A0E50">
        <w:rPr>
          <w:rFonts w:eastAsia="Calibri"/>
          <w:color w:val="000000"/>
        </w:rPr>
        <w:t>Анализ и управление риском реализации муниципальной программы обеспечивает: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постоянный учет всех факторов риска, влияющих на достижение цели муниципальной программы;</w:t>
      </w:r>
    </w:p>
    <w:p w:rsidR="001A0E50" w:rsidRPr="001A0E50" w:rsidRDefault="006E0D5D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1A0E50" w:rsidRPr="001A0E50">
        <w:rPr>
          <w:rFonts w:eastAsia="Calibri"/>
          <w:color w:val="000000"/>
        </w:rPr>
        <w:t>правильный учет факторов риска, их тщательный анализ и разумная политика по управлению ими.</w:t>
      </w:r>
    </w:p>
    <w:p w:rsidR="008F436B" w:rsidRDefault="001A0E50" w:rsidP="006E0D5D">
      <w:pPr>
        <w:shd w:val="clear" w:color="auto" w:fill="FFFFFF"/>
        <w:ind w:firstLine="708"/>
        <w:jc w:val="both"/>
        <w:rPr>
          <w:rFonts w:eastAsia="Calibri"/>
          <w:color w:val="000000"/>
        </w:rPr>
      </w:pPr>
      <w:proofErr w:type="gramStart"/>
      <w:r w:rsidRPr="001A0E50">
        <w:rPr>
          <w:rFonts w:eastAsia="Calibri"/>
          <w:color w:val="000000"/>
        </w:rPr>
        <w:t>Контроль за</w:t>
      </w:r>
      <w:proofErr w:type="gramEnd"/>
      <w:r w:rsidRPr="001A0E50">
        <w:rPr>
          <w:rFonts w:eastAsia="Calibri"/>
          <w:color w:val="000000"/>
        </w:rPr>
        <w:t xml:space="preserve">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муниципальной программы – МКУ ЗГО «УЖКХ».</w:t>
      </w:r>
    </w:p>
    <w:p w:rsidR="006E0D5D" w:rsidRDefault="006E0D5D" w:rsidP="006E0D5D">
      <w:pPr>
        <w:shd w:val="clear" w:color="auto" w:fill="FFFFFF"/>
        <w:jc w:val="both"/>
        <w:rPr>
          <w:rFonts w:eastAsia="Calibri"/>
          <w:color w:val="000000"/>
        </w:rPr>
      </w:pPr>
    </w:p>
    <w:p w:rsidR="006B68D8" w:rsidRPr="006B68D8" w:rsidRDefault="006B68D8" w:rsidP="006B68D8">
      <w:pPr>
        <w:shd w:val="clear" w:color="auto" w:fill="FFFFFF"/>
        <w:jc w:val="center"/>
        <w:rPr>
          <w:rFonts w:eastAsia="Calibri"/>
          <w:color w:val="000000"/>
        </w:rPr>
      </w:pPr>
      <w:r w:rsidRPr="006B68D8">
        <w:rPr>
          <w:rFonts w:eastAsia="Calibri"/>
          <w:color w:val="000000"/>
        </w:rPr>
        <w:t>Раздел IX. Информация по ресурсному обеспечению</w:t>
      </w:r>
    </w:p>
    <w:p w:rsidR="006B68D8" w:rsidRPr="006B68D8" w:rsidRDefault="006B68D8" w:rsidP="006B68D8">
      <w:pPr>
        <w:shd w:val="clear" w:color="auto" w:fill="FFFFFF"/>
        <w:jc w:val="center"/>
        <w:rPr>
          <w:rFonts w:eastAsia="Calibri"/>
          <w:color w:val="000000"/>
        </w:rPr>
      </w:pPr>
      <w:r w:rsidRPr="006B68D8">
        <w:rPr>
          <w:rFonts w:eastAsia="Calibri"/>
          <w:color w:val="000000"/>
        </w:rPr>
        <w:t>муниципальной программы</w:t>
      </w:r>
    </w:p>
    <w:p w:rsidR="006B68D8" w:rsidRPr="006B68D8" w:rsidRDefault="006B68D8" w:rsidP="006B68D8">
      <w:pPr>
        <w:shd w:val="clear" w:color="auto" w:fill="FFFFFF"/>
        <w:jc w:val="both"/>
        <w:rPr>
          <w:rFonts w:eastAsia="Calibri"/>
          <w:color w:val="000000"/>
        </w:rPr>
      </w:pPr>
    </w:p>
    <w:p w:rsidR="006B68D8" w:rsidRPr="006B68D8" w:rsidRDefault="006B68D8" w:rsidP="006B68D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24. </w:t>
      </w:r>
      <w:r w:rsidRPr="006B68D8">
        <w:rPr>
          <w:rFonts w:eastAsia="Calibri"/>
          <w:color w:val="000000"/>
        </w:rPr>
        <w:t>Ресурсное обеспечение муниципальной программы за счет средств местного бюджета (таблица 1):</w:t>
      </w:r>
    </w:p>
    <w:p w:rsidR="006E0D5D" w:rsidRDefault="006B68D8" w:rsidP="006B68D8">
      <w:pPr>
        <w:shd w:val="clear" w:color="auto" w:fill="FFFFFF"/>
        <w:jc w:val="right"/>
        <w:rPr>
          <w:rFonts w:eastAsia="Calibri"/>
          <w:color w:val="000000"/>
        </w:rPr>
      </w:pPr>
      <w:r w:rsidRPr="006B68D8">
        <w:rPr>
          <w:rFonts w:eastAsia="Calibri"/>
          <w:color w:val="000000"/>
        </w:rPr>
        <w:lastRenderedPageBreak/>
        <w:t>Таблица 1</w:t>
      </w:r>
    </w:p>
    <w:p w:rsidR="006B68D8" w:rsidRDefault="006B68D8" w:rsidP="006B68D8">
      <w:pPr>
        <w:shd w:val="clear" w:color="auto" w:fill="FFFFFF"/>
        <w:jc w:val="both"/>
        <w:rPr>
          <w:rFonts w:eastAsia="Calibri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340"/>
        <w:gridCol w:w="1339"/>
        <w:gridCol w:w="1340"/>
        <w:gridCol w:w="1339"/>
        <w:gridCol w:w="1340"/>
        <w:gridCol w:w="1206"/>
      </w:tblGrid>
      <w:tr w:rsidR="0005514F" w:rsidRPr="0005514F" w:rsidTr="0005514F">
        <w:trPr>
          <w:trHeight w:val="20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Главный распорядитель</w:t>
            </w:r>
          </w:p>
          <w:p w:rsidR="0005514F" w:rsidRPr="0005514F" w:rsidRDefault="0005514F" w:rsidP="0005514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В том числе по годам (тыс. руб.)</w:t>
            </w:r>
          </w:p>
        </w:tc>
      </w:tr>
      <w:tr w:rsidR="0005514F" w:rsidRPr="0005514F" w:rsidTr="0005514F">
        <w:trPr>
          <w:trHeight w:val="7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ind w:left="-106" w:right="-102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2028</w:t>
            </w:r>
          </w:p>
        </w:tc>
      </w:tr>
      <w:tr w:rsidR="0005514F" w:rsidRPr="0005514F" w:rsidTr="0005514F">
        <w:trPr>
          <w:trHeight w:val="7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Подпрограмма «Мероприятия в сфере жилищно-коммунального хозяйства</w:t>
            </w:r>
          </w:p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Златоустовского городского округа»</w:t>
            </w:r>
          </w:p>
        </w:tc>
      </w:tr>
      <w:tr w:rsidR="0005514F" w:rsidRPr="0005514F" w:rsidTr="0005514F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2 806 469,04334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779 695,35279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666 825,89055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435 796,9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461 985,8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462 165,1</w:t>
            </w:r>
          </w:p>
        </w:tc>
      </w:tr>
      <w:tr w:rsidR="0005514F" w:rsidRPr="0005514F" w:rsidTr="0005514F">
        <w:trPr>
          <w:trHeight w:val="13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4F" w:rsidRPr="0005514F" w:rsidRDefault="0005514F" w:rsidP="0005514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76 091,20999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65 236,0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10 855,20999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F" w:rsidRPr="0005514F" w:rsidRDefault="0005514F" w:rsidP="0005514F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5514F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</w:tbl>
    <w:p w:rsidR="006B68D8" w:rsidRDefault="006B68D8" w:rsidP="006B68D8">
      <w:pPr>
        <w:shd w:val="clear" w:color="auto" w:fill="FFFFFF"/>
        <w:jc w:val="both"/>
        <w:rPr>
          <w:rFonts w:eastAsia="Calibri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340"/>
        <w:gridCol w:w="1339"/>
        <w:gridCol w:w="1340"/>
        <w:gridCol w:w="1339"/>
        <w:gridCol w:w="1340"/>
        <w:gridCol w:w="1206"/>
      </w:tblGrid>
      <w:tr w:rsidR="00DD2B08" w:rsidRPr="00DD2B08" w:rsidTr="00DD2B08">
        <w:trPr>
          <w:trHeight w:val="7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DD2B08" w:rsidRPr="00DD2B08" w:rsidTr="00DD2B08">
        <w:trPr>
          <w:trHeight w:val="13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1 665 510,63581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458 556,03721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387 430,3986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312 505,5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253 532,3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0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253 486,4</w:t>
            </w:r>
          </w:p>
        </w:tc>
      </w:tr>
      <w:tr w:rsidR="00DD2B08" w:rsidRPr="00DD2B08" w:rsidTr="00DD2B08">
        <w:trPr>
          <w:trHeight w:val="13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21 190,8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9 454,3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11 736,5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DD2B08" w:rsidRPr="00DD2B08" w:rsidTr="00DD2B08">
        <w:trPr>
          <w:trHeight w:val="32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4 569 261,68914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1 312 941,69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1 076 847,99914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748 302,4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715 518,1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6" w:right="-11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715 651,5</w:t>
            </w:r>
          </w:p>
        </w:tc>
      </w:tr>
    </w:tbl>
    <w:p w:rsidR="006B68D8" w:rsidRDefault="006B68D8" w:rsidP="006B68D8">
      <w:pPr>
        <w:shd w:val="clear" w:color="auto" w:fill="FFFFFF"/>
        <w:jc w:val="both"/>
        <w:rPr>
          <w:rFonts w:eastAsia="Calibri"/>
          <w:color w:val="000000"/>
        </w:rPr>
      </w:pPr>
    </w:p>
    <w:p w:rsidR="00DD2B08" w:rsidRPr="00DD2B08" w:rsidRDefault="00DD2B08" w:rsidP="00DD2B08">
      <w:pPr>
        <w:shd w:val="clear" w:color="auto" w:fill="FFFFFF"/>
        <w:jc w:val="center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25.</w:t>
      </w:r>
      <w:r w:rsidRPr="00DD2B08">
        <w:rPr>
          <w:rFonts w:eastAsia="Calibri"/>
          <w:color w:val="000000"/>
        </w:rPr>
        <w:tab/>
        <w:t>Ресурсное обеспечение муниципальной программы за счет средств областного бюджета (таблица 2):</w:t>
      </w:r>
    </w:p>
    <w:p w:rsidR="0005514F" w:rsidRDefault="00DD2B08" w:rsidP="00DD2B08">
      <w:pPr>
        <w:shd w:val="clear" w:color="auto" w:fill="FFFFFF"/>
        <w:jc w:val="right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Таблица 2</w:t>
      </w:r>
    </w:p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340"/>
        <w:gridCol w:w="1339"/>
        <w:gridCol w:w="1340"/>
        <w:gridCol w:w="1339"/>
        <w:gridCol w:w="1340"/>
        <w:gridCol w:w="1206"/>
      </w:tblGrid>
      <w:tr w:rsidR="00DD2B08" w:rsidRPr="00DD2B08" w:rsidTr="00DD2B08">
        <w:trPr>
          <w:trHeight w:val="20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 xml:space="preserve">Главный распорядитель </w:t>
            </w:r>
          </w:p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В том числе по годам (тыс. руб.)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2028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Подпрограмма «Мероприятия в сфере жилищно-коммунального хозяйства</w:t>
            </w:r>
          </w:p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Златоустовского городского округа»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683 374,59252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225 093,67566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212 135,65109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116 684,56534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55 861,99877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73 598,70166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54 996,54812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45 380,2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9 616,34812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825 619,195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326 999,21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180 375,268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160 032,714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79 369,935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78 842,068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1 563 990,33564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597 473,08566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402 127,26721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276 717,27934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135 231,93377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152 440,76966</w:t>
            </w:r>
          </w:p>
        </w:tc>
      </w:tr>
    </w:tbl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p w:rsidR="00DD2B08" w:rsidRPr="00DD2B08" w:rsidRDefault="00DD2B08" w:rsidP="00DD2B08">
      <w:pPr>
        <w:shd w:val="clear" w:color="auto" w:fill="FFFFFF"/>
        <w:jc w:val="center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26.</w:t>
      </w:r>
      <w:r w:rsidRPr="00DD2B08">
        <w:rPr>
          <w:rFonts w:eastAsia="Calibri"/>
          <w:color w:val="000000"/>
        </w:rPr>
        <w:tab/>
        <w:t>Ресурсное обеспечение муниципальной программы за счет средств федерального бюджета (таблица 3):</w:t>
      </w:r>
    </w:p>
    <w:p w:rsidR="00DD2B08" w:rsidRDefault="00DD2B08" w:rsidP="00DD2B08">
      <w:pPr>
        <w:shd w:val="clear" w:color="auto" w:fill="FFFFFF"/>
        <w:jc w:val="right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Таблица 3</w:t>
      </w:r>
    </w:p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340"/>
        <w:gridCol w:w="1339"/>
        <w:gridCol w:w="1340"/>
        <w:gridCol w:w="1339"/>
        <w:gridCol w:w="1340"/>
        <w:gridCol w:w="1206"/>
      </w:tblGrid>
      <w:tr w:rsidR="00DD2B08" w:rsidRPr="00DD2B08" w:rsidTr="00DD2B08">
        <w:trPr>
          <w:trHeight w:val="20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 xml:space="preserve">Главный распорядитель </w:t>
            </w:r>
          </w:p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В том числе по годам (тыс. руб.)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2028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Подпрограмма «Мероприятия в сфере жилищно-коммунального хозяйства</w:t>
            </w:r>
          </w:p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Златоустовского городского округа»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МКУ ЗГО «УЖКХ»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134 725,51346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26 745,5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92 860,01346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15 120,0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DD2B08" w:rsidRPr="00DD2B08" w:rsidTr="00DD2B08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134 725,51346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26 745,5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92 860,01346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15 120,0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8" w:rsidRPr="00DD2B08" w:rsidRDefault="00DD2B08" w:rsidP="00DD2B08">
            <w:pPr>
              <w:ind w:left="-105" w:right="-10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2B0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</w:tbl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27. </w:t>
      </w:r>
      <w:r w:rsidRPr="00DD2B08">
        <w:rPr>
          <w:rFonts w:eastAsia="Calibri"/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lastRenderedPageBreak/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>
        <w:rPr>
          <w:rFonts w:eastAsia="Calibri"/>
          <w:color w:val="000000"/>
        </w:rPr>
        <w:br/>
      </w:r>
      <w:r w:rsidRPr="00DD2B08">
        <w:rPr>
          <w:rFonts w:eastAsia="Calibri"/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DD2B08" w:rsidRP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p w:rsidR="00DD2B08" w:rsidRPr="00DD2B08" w:rsidRDefault="00DD2B08" w:rsidP="00DD2B08">
      <w:pPr>
        <w:shd w:val="clear" w:color="auto" w:fill="FFFFFF"/>
        <w:jc w:val="center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Раздел X. Методика оценки эффективности муниципальной программы</w:t>
      </w:r>
    </w:p>
    <w:p w:rsidR="00DD2B08" w:rsidRPr="00DD2B08" w:rsidRDefault="00DD2B08" w:rsidP="00DD2B08">
      <w:pPr>
        <w:shd w:val="clear" w:color="auto" w:fill="FFFFFF"/>
        <w:jc w:val="center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и установление ее критериев</w:t>
      </w:r>
    </w:p>
    <w:p w:rsidR="00DD2B08" w:rsidRP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28. </w:t>
      </w:r>
      <w:r w:rsidRPr="00DD2B08">
        <w:rPr>
          <w:rFonts w:eastAsia="Calibri"/>
          <w:color w:val="000000"/>
        </w:rPr>
        <w:t xml:space="preserve">Оценка эффективности муниципальной программы осуществляется </w:t>
      </w:r>
      <w:r>
        <w:rPr>
          <w:rFonts w:eastAsia="Calibri"/>
          <w:color w:val="000000"/>
        </w:rPr>
        <w:br/>
      </w:r>
      <w:r w:rsidRPr="00DD2B08">
        <w:rPr>
          <w:rFonts w:eastAsia="Calibri"/>
          <w:color w:val="000000"/>
        </w:rPr>
        <w:t xml:space="preserve">в целях достижения оптимального соотношения затрат, связанных </w:t>
      </w:r>
      <w:r>
        <w:rPr>
          <w:rFonts w:eastAsia="Calibri"/>
          <w:color w:val="000000"/>
        </w:rPr>
        <w:br/>
      </w:r>
      <w:r w:rsidRPr="00DD2B08">
        <w:rPr>
          <w:rFonts w:eastAsia="Calibri"/>
          <w:color w:val="000000"/>
        </w:rPr>
        <w:t>с реализацией муниципальной программы,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Критериями оценки эффективности реализации муниципальных программ являются: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 </w:t>
      </w:r>
      <w:r w:rsidRPr="00DD2B08">
        <w:rPr>
          <w:rFonts w:eastAsia="Calibri"/>
          <w:color w:val="000000"/>
        </w:rPr>
        <w:t>повышение эффективности бюджетных расходов на реализацию мероприятий муниципальных программ;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 </w:t>
      </w:r>
      <w:r w:rsidRPr="00DD2B08">
        <w:rPr>
          <w:rFonts w:eastAsia="Calibri"/>
          <w:color w:val="000000"/>
        </w:rPr>
        <w:t>достижение установленных значений целевых индикаторов.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DD2B08" w:rsidRPr="00DD2B08" w:rsidRDefault="00DD2B08" w:rsidP="00DD2B08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>
        <w:rPr>
          <w:rFonts w:eastAsia="Calibri"/>
          <w:color w:val="000000"/>
        </w:rPr>
        <w:br/>
      </w:r>
      <w:r w:rsidRPr="00DD2B08">
        <w:rPr>
          <w:rFonts w:eastAsia="Calibri"/>
          <w:color w:val="000000"/>
        </w:rPr>
        <w:t xml:space="preserve">к плановым, </w:t>
      </w:r>
      <w:proofErr w:type="gramStart"/>
      <w:r w:rsidRPr="00DD2B08">
        <w:rPr>
          <w:rFonts w:eastAsia="Calibri"/>
          <w:color w:val="000000"/>
        </w:rPr>
        <w:t>утвержденными</w:t>
      </w:r>
      <w:proofErr w:type="gramEnd"/>
      <w:r w:rsidRPr="00DD2B08">
        <w:rPr>
          <w:rFonts w:eastAsia="Calibri"/>
          <w:color w:val="000000"/>
        </w:rPr>
        <w:t xml:space="preserve"> муниципальной программой, по следующей формуле (таблицы 4, 5):</w:t>
      </w:r>
    </w:p>
    <w:p w:rsidR="00DD2B08" w:rsidRDefault="00DD2B08" w:rsidP="00DD2B08">
      <w:pPr>
        <w:shd w:val="clear" w:color="auto" w:fill="FFFFFF"/>
        <w:jc w:val="right"/>
        <w:rPr>
          <w:rFonts w:eastAsia="Calibri"/>
          <w:color w:val="000000"/>
        </w:rPr>
      </w:pPr>
      <w:r w:rsidRPr="00DD2B08">
        <w:rPr>
          <w:rFonts w:eastAsia="Calibri"/>
          <w:color w:val="000000"/>
        </w:rPr>
        <w:t>Таблица 4</w:t>
      </w:r>
    </w:p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015"/>
        <w:gridCol w:w="3079"/>
        <w:gridCol w:w="4545"/>
      </w:tblGrid>
      <w:tr w:rsidR="00A2588F" w:rsidRPr="00A2588F" w:rsidTr="00A2588F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ind w:left="-107" w:right="-79"/>
              <w:jc w:val="center"/>
            </w:pPr>
            <w:r w:rsidRPr="00A2588F"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jc w:val="center"/>
            </w:pPr>
            <w:r w:rsidRPr="00A2588F">
              <w:t>Оценка достижения плановых целевых индикаторов (ДЦИ)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jc w:val="center"/>
            </w:pPr>
            <w:r w:rsidRPr="00A2588F">
              <w:t>Фактические целевые индикаторы</w:t>
            </w:r>
          </w:p>
        </w:tc>
      </w:tr>
      <w:tr w:rsidR="00A2588F" w:rsidRPr="00A2588F" w:rsidTr="00A2588F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Плановые целевые индикаторы</w:t>
            </w:r>
          </w:p>
        </w:tc>
      </w:tr>
      <w:tr w:rsidR="00A2588F" w:rsidRPr="00A2588F" w:rsidTr="00A2588F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Оценка полноты использования бюджетных средств (ПИБС)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Фактическое использование бюджетных средств</w:t>
            </w:r>
          </w:p>
        </w:tc>
      </w:tr>
      <w:tr w:rsidR="00A2588F" w:rsidRPr="00A2588F" w:rsidTr="00A2588F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Плановое использование бюджетных средств</w:t>
            </w:r>
          </w:p>
        </w:tc>
      </w:tr>
      <w:tr w:rsidR="00A2588F" w:rsidRPr="00A2588F" w:rsidTr="00A2588F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Показатель эффективности реализации муниципальной Программы (О)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ДЦИ (Оценка достижения плановых целевых индикаторов)</w:t>
            </w:r>
          </w:p>
        </w:tc>
      </w:tr>
      <w:tr w:rsidR="00A2588F" w:rsidRPr="00A2588F" w:rsidTr="00A2588F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8F" w:rsidRPr="00A2588F" w:rsidRDefault="00A2588F" w:rsidP="00A2588F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A2588F">
              <w:t>ПИБС (Оценка полноты использования бюджетных средств)</w:t>
            </w:r>
          </w:p>
        </w:tc>
      </w:tr>
    </w:tbl>
    <w:p w:rsidR="00DD2B08" w:rsidRDefault="00DD2B08" w:rsidP="00DD2B08">
      <w:pPr>
        <w:shd w:val="clear" w:color="auto" w:fill="FFFFFF"/>
        <w:jc w:val="both"/>
        <w:rPr>
          <w:rFonts w:eastAsia="Calibri"/>
          <w:color w:val="000000"/>
        </w:rPr>
      </w:pPr>
    </w:p>
    <w:p w:rsidR="00A2588F" w:rsidRPr="00A2588F" w:rsidRDefault="00A2588F" w:rsidP="00A2588F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29. </w:t>
      </w:r>
      <w:r w:rsidRPr="00A2588F">
        <w:rPr>
          <w:rFonts w:eastAsia="Calibri"/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rPr>
          <w:rFonts w:eastAsia="Calibri"/>
          <w:color w:val="000000"/>
        </w:rPr>
        <w:br/>
      </w:r>
      <w:r w:rsidRPr="00A2588F">
        <w:rPr>
          <w:rFonts w:eastAsia="Calibri"/>
          <w:color w:val="000000"/>
        </w:rPr>
        <w:t>по формулам, указанным в таблице 4.</w:t>
      </w:r>
    </w:p>
    <w:p w:rsidR="00A2588F" w:rsidRPr="00A2588F" w:rsidRDefault="00A2588F" w:rsidP="00A2588F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 w:rsidRPr="00A2588F">
        <w:rPr>
          <w:rFonts w:eastAsia="Calibri"/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rPr>
          <w:rFonts w:eastAsia="Calibri"/>
          <w:color w:val="000000"/>
        </w:rPr>
        <w:br/>
      </w:r>
      <w:r w:rsidRPr="00A2588F">
        <w:rPr>
          <w:rFonts w:eastAsia="Calibri"/>
          <w:color w:val="000000"/>
        </w:rPr>
        <w:t>в муниципальную программу.</w:t>
      </w:r>
    </w:p>
    <w:p w:rsidR="00A2588F" w:rsidRPr="00A2588F" w:rsidRDefault="00A2588F" w:rsidP="00A2588F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30. </w:t>
      </w:r>
      <w:r w:rsidRPr="00A2588F">
        <w:rPr>
          <w:rFonts w:eastAsia="Calibri"/>
          <w:color w:val="000000"/>
        </w:rPr>
        <w:t xml:space="preserve">Эффективность реализации муниципальной программы </w:t>
      </w:r>
      <w:r>
        <w:rPr>
          <w:rFonts w:eastAsia="Calibri"/>
          <w:color w:val="000000"/>
        </w:rPr>
        <w:br/>
      </w:r>
      <w:r w:rsidRPr="00A2588F">
        <w:rPr>
          <w:rFonts w:eastAsia="Calibri"/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Pr="00A2588F">
        <w:rPr>
          <w:rFonts w:eastAsia="Calibri"/>
          <w:color w:val="000000"/>
        </w:rPr>
        <w:t>оценки</w:t>
      </w:r>
      <w:proofErr w:type="gramEnd"/>
      <w:r w:rsidRPr="00A2588F">
        <w:rPr>
          <w:rFonts w:eastAsia="Calibri"/>
          <w:color w:val="000000"/>
        </w:rPr>
        <w:t xml:space="preserve"> следующим образом:</w:t>
      </w:r>
    </w:p>
    <w:p w:rsidR="00A2588F" w:rsidRDefault="00A2588F" w:rsidP="00A2588F">
      <w:pPr>
        <w:shd w:val="clear" w:color="auto" w:fill="FFFFFF"/>
        <w:jc w:val="right"/>
        <w:rPr>
          <w:rFonts w:eastAsia="Calibri"/>
          <w:color w:val="000000"/>
        </w:rPr>
      </w:pPr>
      <w:r w:rsidRPr="00A2588F">
        <w:rPr>
          <w:rFonts w:eastAsia="Calibri"/>
          <w:color w:val="000000"/>
        </w:rPr>
        <w:t>Таблица 5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49"/>
        <w:gridCol w:w="7890"/>
      </w:tblGrid>
      <w:tr w:rsidR="007F15BA" w:rsidRPr="007F15BA" w:rsidTr="007F15B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Значение 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Эффективность реализации муниципальной программы</w:t>
            </w:r>
          </w:p>
        </w:tc>
      </w:tr>
      <w:tr w:rsidR="007F15BA" w:rsidRPr="007F15BA" w:rsidTr="007F15B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более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7F15BA" w:rsidRPr="007F15BA" w:rsidTr="007F15B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от 1 до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высокая эффективность реализации муниципальной программы</w:t>
            </w:r>
            <w:r w:rsidRPr="007F15BA">
              <w:br/>
              <w:t>(повышение целевого значения)</w:t>
            </w:r>
          </w:p>
        </w:tc>
      </w:tr>
    </w:tbl>
    <w:p w:rsidR="007F15BA" w:rsidRPr="007F15BA" w:rsidRDefault="007F15BA" w:rsidP="007F15B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749"/>
        <w:gridCol w:w="7890"/>
      </w:tblGrid>
      <w:tr w:rsidR="007F15BA" w:rsidRPr="007F15BA" w:rsidTr="007F15BA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от 0,5 до 1,0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низкая эффективность реализации муниципальной программы</w:t>
            </w:r>
            <w:r w:rsidRPr="007F15BA">
              <w:br/>
              <w:t>(не достигнуто целевое значение)</w:t>
            </w:r>
          </w:p>
        </w:tc>
      </w:tr>
      <w:tr w:rsidR="007F15BA" w:rsidRPr="007F15BA" w:rsidTr="007F15BA">
        <w:trPr>
          <w:trHeight w:val="6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менее 0,5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5BA" w:rsidRPr="007F15BA" w:rsidRDefault="007F15BA" w:rsidP="007F15BA">
            <w:pPr>
              <w:jc w:val="center"/>
            </w:pPr>
            <w:r w:rsidRPr="007F15BA">
              <w:t>крайне низкая эффективность реализации муниципальной программы (целевое значение исполнено менее</w:t>
            </w:r>
            <w:proofErr w:type="gramStart"/>
            <w:r w:rsidRPr="007F15BA">
              <w:t>,</w:t>
            </w:r>
            <w:proofErr w:type="gramEnd"/>
            <w:r w:rsidRPr="007F15BA">
              <w:t xml:space="preserve"> чем на половину)</w:t>
            </w:r>
          </w:p>
        </w:tc>
      </w:tr>
    </w:tbl>
    <w:p w:rsidR="00A2588F" w:rsidRDefault="00A2588F" w:rsidP="00A2588F">
      <w:pPr>
        <w:shd w:val="clear" w:color="auto" w:fill="FFFFFF"/>
        <w:jc w:val="both"/>
        <w:rPr>
          <w:rFonts w:eastAsia="Calibri"/>
          <w:color w:val="000000"/>
        </w:rPr>
      </w:pPr>
    </w:p>
    <w:p w:rsidR="00A2588F" w:rsidRPr="009153A8" w:rsidRDefault="007F15BA" w:rsidP="007F15BA">
      <w:pPr>
        <w:shd w:val="clear" w:color="auto" w:fill="FFFFFF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31. </w:t>
      </w:r>
      <w:r w:rsidRPr="007F15BA">
        <w:rPr>
          <w:rFonts w:eastAsia="Calibri"/>
          <w:color w:val="000000"/>
        </w:rPr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sectPr w:rsidR="00A2588F" w:rsidRPr="009153A8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CB" w:rsidRDefault="00BF6DCB">
      <w:r>
        <w:separator/>
      </w:r>
    </w:p>
  </w:endnote>
  <w:endnote w:type="continuationSeparator" w:id="0">
    <w:p w:rsidR="00BF6DCB" w:rsidRDefault="00B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38" w:rsidRPr="00FF7009" w:rsidRDefault="00AB283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Вр-474186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38" w:rsidRPr="00C9340B" w:rsidRDefault="00AB283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Вр-474186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CB" w:rsidRDefault="00BF6DCB">
      <w:r>
        <w:separator/>
      </w:r>
    </w:p>
  </w:footnote>
  <w:footnote w:type="continuationSeparator" w:id="0">
    <w:p w:rsidR="00BF6DCB" w:rsidRDefault="00BF6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38" w:rsidRPr="00FF7009" w:rsidRDefault="00AB283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12FC6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38" w:rsidRPr="00E045E8" w:rsidRDefault="00AB283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B5D"/>
    <w:multiLevelType w:val="hybridMultilevel"/>
    <w:tmpl w:val="F5FC7C54"/>
    <w:lvl w:ilvl="0" w:tplc="B296C2BC">
      <w:start w:val="1"/>
      <w:numFmt w:val="decimal"/>
      <w:lvlText w:val="%1."/>
      <w:lvlJc w:val="left"/>
      <w:pPr>
        <w:ind w:left="28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4B64D19"/>
    <w:multiLevelType w:val="hybridMultilevel"/>
    <w:tmpl w:val="073CC858"/>
    <w:lvl w:ilvl="0" w:tplc="51B0333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501FE"/>
    <w:multiLevelType w:val="hybridMultilevel"/>
    <w:tmpl w:val="E45C5700"/>
    <w:lvl w:ilvl="0" w:tplc="37540DA8">
      <w:start w:val="1"/>
      <w:numFmt w:val="decimal"/>
      <w:lvlText w:val="%1."/>
      <w:lvlJc w:val="left"/>
      <w:pPr>
        <w:ind w:left="1422" w:hanging="8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7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071797"/>
    <w:multiLevelType w:val="hybridMultilevel"/>
    <w:tmpl w:val="A590199A"/>
    <w:lvl w:ilvl="0" w:tplc="24CE6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A728EC"/>
    <w:multiLevelType w:val="multilevel"/>
    <w:tmpl w:val="5A088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>
    <w:nsid w:val="31525251"/>
    <w:multiLevelType w:val="multilevel"/>
    <w:tmpl w:val="770C650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2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4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3C10"/>
    <w:multiLevelType w:val="hybridMultilevel"/>
    <w:tmpl w:val="19CC1E2E"/>
    <w:lvl w:ilvl="0" w:tplc="20E08B7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4D4123"/>
    <w:multiLevelType w:val="hybridMultilevel"/>
    <w:tmpl w:val="485083F0"/>
    <w:lvl w:ilvl="0" w:tplc="FB86FFD6">
      <w:start w:val="24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20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83A10"/>
    <w:multiLevelType w:val="hybridMultilevel"/>
    <w:tmpl w:val="4B6845C2"/>
    <w:lvl w:ilvl="0" w:tplc="FFB2F346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22"/>
  </w:num>
  <w:num w:numId="7">
    <w:abstractNumId w:val="13"/>
  </w:num>
  <w:num w:numId="8">
    <w:abstractNumId w:val="8"/>
  </w:num>
  <w:num w:numId="9">
    <w:abstractNumId w:val="12"/>
  </w:num>
  <w:num w:numId="10">
    <w:abstractNumId w:val="24"/>
  </w:num>
  <w:num w:numId="11">
    <w:abstractNumId w:val="21"/>
  </w:num>
  <w:num w:numId="12">
    <w:abstractNumId w:val="7"/>
  </w:num>
  <w:num w:numId="13">
    <w:abstractNumId w:val="23"/>
  </w:num>
  <w:num w:numId="14">
    <w:abstractNumId w:val="1"/>
  </w:num>
  <w:num w:numId="15">
    <w:abstractNumId w:val="20"/>
  </w:num>
  <w:num w:numId="16">
    <w:abstractNumId w:val="18"/>
  </w:num>
  <w:num w:numId="17">
    <w:abstractNumId w:val="11"/>
  </w:num>
  <w:num w:numId="18">
    <w:abstractNumId w:val="6"/>
  </w:num>
  <w:num w:numId="19">
    <w:abstractNumId w:val="5"/>
  </w:num>
  <w:num w:numId="20">
    <w:abstractNumId w:val="2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0C34"/>
    <w:rsid w:val="000130F6"/>
    <w:rsid w:val="0001379C"/>
    <w:rsid w:val="00016AE3"/>
    <w:rsid w:val="00021E2C"/>
    <w:rsid w:val="000260F3"/>
    <w:rsid w:val="00027141"/>
    <w:rsid w:val="00033532"/>
    <w:rsid w:val="0005514F"/>
    <w:rsid w:val="00060FF0"/>
    <w:rsid w:val="0007620D"/>
    <w:rsid w:val="000B17AD"/>
    <w:rsid w:val="000C680A"/>
    <w:rsid w:val="000D23DE"/>
    <w:rsid w:val="000E08C8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E50"/>
    <w:rsid w:val="001A23F8"/>
    <w:rsid w:val="001A2C0F"/>
    <w:rsid w:val="001A2CD3"/>
    <w:rsid w:val="001A305B"/>
    <w:rsid w:val="001C1A94"/>
    <w:rsid w:val="001E53B4"/>
    <w:rsid w:val="00200670"/>
    <w:rsid w:val="002141BD"/>
    <w:rsid w:val="0023151A"/>
    <w:rsid w:val="002532AF"/>
    <w:rsid w:val="0025570C"/>
    <w:rsid w:val="00256E1C"/>
    <w:rsid w:val="00261CC9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480C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2C54"/>
    <w:rsid w:val="00600481"/>
    <w:rsid w:val="006049CB"/>
    <w:rsid w:val="00610324"/>
    <w:rsid w:val="00610D41"/>
    <w:rsid w:val="00611367"/>
    <w:rsid w:val="00616E34"/>
    <w:rsid w:val="00621AA5"/>
    <w:rsid w:val="00635691"/>
    <w:rsid w:val="00652134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68D8"/>
    <w:rsid w:val="006C1107"/>
    <w:rsid w:val="006D180A"/>
    <w:rsid w:val="006D447B"/>
    <w:rsid w:val="006D5FED"/>
    <w:rsid w:val="006E0D5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5B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843"/>
    <w:rsid w:val="008D0B4E"/>
    <w:rsid w:val="008D3FF4"/>
    <w:rsid w:val="008D448F"/>
    <w:rsid w:val="008E2021"/>
    <w:rsid w:val="008E711D"/>
    <w:rsid w:val="008F436B"/>
    <w:rsid w:val="008F6496"/>
    <w:rsid w:val="009153A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2E91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88F"/>
    <w:rsid w:val="00A30182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2838"/>
    <w:rsid w:val="00AC2608"/>
    <w:rsid w:val="00AD21C5"/>
    <w:rsid w:val="00AD6541"/>
    <w:rsid w:val="00AF3F0F"/>
    <w:rsid w:val="00B07659"/>
    <w:rsid w:val="00B07B14"/>
    <w:rsid w:val="00B21E55"/>
    <w:rsid w:val="00B30409"/>
    <w:rsid w:val="00B34585"/>
    <w:rsid w:val="00B37CE2"/>
    <w:rsid w:val="00B4273C"/>
    <w:rsid w:val="00B5138D"/>
    <w:rsid w:val="00B547E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6DC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1242"/>
    <w:rsid w:val="00D74830"/>
    <w:rsid w:val="00D82961"/>
    <w:rsid w:val="00D84AF2"/>
    <w:rsid w:val="00D96BA1"/>
    <w:rsid w:val="00D97CF1"/>
    <w:rsid w:val="00DA315F"/>
    <w:rsid w:val="00DB1693"/>
    <w:rsid w:val="00DB1EF8"/>
    <w:rsid w:val="00DC242D"/>
    <w:rsid w:val="00DC4985"/>
    <w:rsid w:val="00DC562F"/>
    <w:rsid w:val="00DD2279"/>
    <w:rsid w:val="00DD2B08"/>
    <w:rsid w:val="00DE4816"/>
    <w:rsid w:val="00DF657A"/>
    <w:rsid w:val="00E03738"/>
    <w:rsid w:val="00E045E8"/>
    <w:rsid w:val="00E07736"/>
    <w:rsid w:val="00E16222"/>
    <w:rsid w:val="00E20771"/>
    <w:rsid w:val="00E23CE6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2FC6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43F7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9153A8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9153A8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9153A8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9153A8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9153A8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9153A8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semiHidden/>
    <w:rsid w:val="009153A8"/>
  </w:style>
  <w:style w:type="paragraph" w:customStyle="1" w:styleId="ConsPlusNormal">
    <w:name w:val="ConsPlusNormal"/>
    <w:link w:val="ConsPlusNormal0"/>
    <w:rsid w:val="009153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9153A8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9153A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53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9153A8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915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9153A8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9153A8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9153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9153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9153A8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9153A8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9153A8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9153A8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9153A8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153A8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9153A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153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9153A8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9153A8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9153A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9153A8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9153A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153A8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9153A8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9153A8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91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9153A8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9153A8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9153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9153A8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9153A8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9153A8"/>
  </w:style>
  <w:style w:type="character" w:customStyle="1" w:styleId="afa">
    <w:name w:val="Гипертекстовая ссылка"/>
    <w:uiPriority w:val="99"/>
    <w:rsid w:val="009153A8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9153A8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9153A8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9153A8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9153A8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9153A8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9153A8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semiHidden/>
    <w:rsid w:val="009153A8"/>
  </w:style>
  <w:style w:type="paragraph" w:customStyle="1" w:styleId="ConsPlusNormal">
    <w:name w:val="ConsPlusNormal"/>
    <w:link w:val="ConsPlusNormal0"/>
    <w:rsid w:val="009153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9153A8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9153A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153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9153A8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915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9153A8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9153A8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9153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9153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9153A8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9153A8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9153A8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9153A8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9153A8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153A8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9153A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153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9153A8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9153A8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9153A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9153A8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9153A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153A8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9153A8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9153A8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91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9153A8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9153A8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9153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9153A8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9153A8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9153A8"/>
  </w:style>
  <w:style w:type="character" w:customStyle="1" w:styleId="afa">
    <w:name w:val="Гипертекстовая ссылка"/>
    <w:uiPriority w:val="99"/>
    <w:rsid w:val="009153A8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6176</Words>
  <Characters>35206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2026-04-06T05:19:00Z</cp:lastPrinted>
  <dcterms:created xsi:type="dcterms:W3CDTF">2026-04-07T07:42:00Z</dcterms:created>
  <dcterms:modified xsi:type="dcterms:W3CDTF">2026-04-07T07:42:00Z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