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7075AD"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77897607" r:id="rId8"/>
        </w:pict>
      </w:r>
      <w:r w:rsidR="00DC242D" w:rsidRPr="00DC242D">
        <w:rPr>
          <w:sz w:val="20"/>
          <w:szCs w:val="20"/>
        </w:rPr>
        <w:t>ЧЕЛЯБИНСКАЯ ОБЛАСТЬ</w:t>
      </w:r>
    </w:p>
    <w:p w:rsidR="00DC242D" w:rsidRPr="00E05E6F"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8"/>
        <w:gridCol w:w="723"/>
        <w:gridCol w:w="1658"/>
        <w:gridCol w:w="851"/>
        <w:gridCol w:w="3595"/>
      </w:tblGrid>
      <w:tr w:rsidR="009416DA" w:rsidRPr="00E335AA" w:rsidTr="007075AD">
        <w:trPr>
          <w:trHeight w:val="446"/>
        </w:trPr>
        <w:tc>
          <w:tcPr>
            <w:tcW w:w="1588" w:type="dxa"/>
            <w:tcBorders>
              <w:bottom w:val="single" w:sz="4" w:space="0" w:color="auto"/>
            </w:tcBorders>
          </w:tcPr>
          <w:p w:rsidR="009416DA" w:rsidRPr="009416DA" w:rsidRDefault="007075AD" w:rsidP="009341F4">
            <w:pPr>
              <w:ind w:left="-170" w:right="-170"/>
            </w:pPr>
            <w:r>
              <w:fldChar w:fldCharType="begin"/>
            </w:r>
            <w:r>
              <w:instrText xml:space="preserve"> DOCPROPERTY  Рег.дата  \* MERGEFORMAT </w:instrText>
            </w:r>
            <w:r>
              <w:fldChar w:fldCharType="separate"/>
            </w:r>
            <w:r w:rsidR="009416DA" w:rsidRPr="009416DA">
              <w:t>22.05.2024 г.</w:t>
            </w:r>
            <w:r>
              <w:fldChar w:fldCharType="end"/>
            </w:r>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7075AD" w:rsidP="00E4076D">
            <w:r>
              <w:fldChar w:fldCharType="begin"/>
            </w:r>
            <w:r>
              <w:instrText xml:space="preserve"> DOCPROPERTY  Рег.№  \* MERGEFORMAT </w:instrText>
            </w:r>
            <w:r>
              <w:fldChar w:fldCharType="separate"/>
            </w:r>
            <w:r w:rsidR="009416DA" w:rsidRPr="009416DA">
              <w:t>162-П/АДМ</w:t>
            </w:r>
            <w:r>
              <w:fldChar w:fldCharType="end"/>
            </w:r>
          </w:p>
        </w:tc>
        <w:tc>
          <w:tcPr>
            <w:tcW w:w="4446" w:type="dxa"/>
            <w:gridSpan w:val="2"/>
          </w:tcPr>
          <w:p w:rsidR="009416DA" w:rsidRDefault="009416DA" w:rsidP="007C7191">
            <w:pPr>
              <w:ind w:left="-170" w:right="-170"/>
              <w:jc w:val="center"/>
            </w:pPr>
          </w:p>
        </w:tc>
      </w:tr>
      <w:tr w:rsidR="009416DA" w:rsidRPr="00E335AA" w:rsidTr="007075AD">
        <w:trPr>
          <w:trHeight w:val="446"/>
        </w:trPr>
        <w:tc>
          <w:tcPr>
            <w:tcW w:w="396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446" w:type="dxa"/>
            <w:gridSpan w:val="2"/>
          </w:tcPr>
          <w:p w:rsidR="009416DA" w:rsidRPr="00E335AA" w:rsidRDefault="009416DA" w:rsidP="0065508B"/>
        </w:tc>
      </w:tr>
      <w:tr w:rsidR="00D96BA1" w:rsidRPr="00E335AA" w:rsidTr="00E6286D">
        <w:trPr>
          <w:trHeight w:val="446"/>
        </w:trPr>
        <w:tc>
          <w:tcPr>
            <w:tcW w:w="4820" w:type="dxa"/>
            <w:gridSpan w:val="4"/>
          </w:tcPr>
          <w:p w:rsidR="00D96BA1" w:rsidRDefault="00E05E6F" w:rsidP="00E6286D">
            <w:pPr>
              <w:ind w:left="-170" w:right="142"/>
              <w:jc w:val="both"/>
            </w:pPr>
            <w:r w:rsidRPr="00E05E6F">
              <w:t xml:space="preserve">Об утверждении номенклатуры, объема, порядка создания </w:t>
            </w:r>
            <w:r w:rsidR="00E6286D">
              <w:br/>
            </w:r>
            <w:r w:rsidRPr="00E05E6F">
              <w:t>и использования запаса (резерва) технических средств системы оповещения населения на территории Златоустовского городского округа</w:t>
            </w:r>
            <w:r w:rsidR="00E6286D">
              <w:br/>
            </w:r>
          </w:p>
        </w:tc>
        <w:tc>
          <w:tcPr>
            <w:tcW w:w="3595" w:type="dxa"/>
          </w:tcPr>
          <w:p w:rsidR="00D96BA1" w:rsidRDefault="00D96BA1" w:rsidP="00E05E6F">
            <w:pPr>
              <w:jc w:val="both"/>
            </w:pPr>
          </w:p>
        </w:tc>
      </w:tr>
    </w:tbl>
    <w:p w:rsidR="009416DA" w:rsidRDefault="009416DA" w:rsidP="009416DA">
      <w:pPr>
        <w:widowControl w:val="0"/>
        <w:ind w:firstLine="709"/>
        <w:jc w:val="both"/>
      </w:pPr>
    </w:p>
    <w:p w:rsidR="00E05E6F" w:rsidRDefault="00E05E6F" w:rsidP="00E05E6F">
      <w:pPr>
        <w:widowControl w:val="0"/>
        <w:ind w:firstLine="709"/>
        <w:jc w:val="both"/>
      </w:pPr>
      <w:proofErr w:type="gramStart"/>
      <w:r>
        <w:t xml:space="preserve">В соответствии с Федеральным законом от 21.12.1994 г. № 68-ФЗ </w:t>
      </w:r>
      <w:r>
        <w:br/>
        <w:t xml:space="preserve">«О защите населения и территорий от чрезвычайных ситуаций природного </w:t>
      </w:r>
      <w:r>
        <w:br/>
        <w:t xml:space="preserve">и техногенного характера», Федеральным законом от 12.02.1998 г. № 28-ФЗ </w:t>
      </w:r>
      <w:r>
        <w:br/>
        <w:t xml:space="preserve">«О гражданской обороне», постановлением Правительства Российской Федерации от 27.04.2000 г. № 379 «О накоплении, хранении и использовании </w:t>
      </w:r>
      <w:r>
        <w:br/>
        <w:t>в целях гражданской обороны запасов материально-технических, продовольственных медицинских и иных средств», Постановлением</w:t>
      </w:r>
      <w:proofErr w:type="gramEnd"/>
      <w:r>
        <w:t xml:space="preserve"> </w:t>
      </w:r>
      <w:proofErr w:type="gramStart"/>
      <w:r>
        <w:t>Правительства Рос</w:t>
      </w:r>
      <w:r w:rsidR="00B66D3C">
        <w:t>сийской Федерации от 17.05.2023 г. № </w:t>
      </w:r>
      <w:r>
        <w:t xml:space="preserve">769 «О порядке создания, реконструкции и поддержания в состоянии постоянной готовности </w:t>
      </w:r>
      <w:r>
        <w:br/>
        <w:t xml:space="preserve">к использованию систем оповещения населения»,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w:t>
      </w:r>
      <w:r>
        <w:br/>
        <w:t>и Министерства цифрового развития, связи и массовых коммуникаций Российской Федерации от 31.07.2020 г. № 579/366 «Об утверждении Положения по организации эксплуатационно-технического обслуживания</w:t>
      </w:r>
      <w:proofErr w:type="gramEnd"/>
      <w:r>
        <w:t xml:space="preserve"> систем оповещения населения» и методическими рекомендациями по созданию и реконструкции систем оповещения населения», руководствуясь Федеральным законом от 06.10.2003 г. № 131-ФЗ «Об общих принципах организации местного самоуправления в Российской Федерации» и Уставом Златоустовского городского округа,</w:t>
      </w:r>
    </w:p>
    <w:p w:rsidR="00E05E6F" w:rsidRDefault="00E05E6F" w:rsidP="00E05E6F">
      <w:pPr>
        <w:widowControl w:val="0"/>
        <w:ind w:firstLine="709"/>
        <w:jc w:val="both"/>
      </w:pPr>
      <w:r>
        <w:t>ПОСТАНОВЛЯЮ:</w:t>
      </w:r>
    </w:p>
    <w:p w:rsidR="00E05E6F" w:rsidRDefault="00E05E6F" w:rsidP="00E05E6F">
      <w:pPr>
        <w:widowControl w:val="0"/>
        <w:ind w:firstLine="709"/>
        <w:jc w:val="both"/>
      </w:pPr>
      <w:r>
        <w:t>1. Утвердить:</w:t>
      </w:r>
    </w:p>
    <w:p w:rsidR="00E05E6F" w:rsidRDefault="00E05E6F" w:rsidP="00E05E6F">
      <w:pPr>
        <w:widowControl w:val="0"/>
        <w:ind w:firstLine="709"/>
        <w:jc w:val="both"/>
      </w:pPr>
      <w:r>
        <w:t>1.1. Номенклатуру, объем запаса (резерва) технических средств оповещения населения Златоустовского городского округа (приложение 1);</w:t>
      </w:r>
    </w:p>
    <w:p w:rsidR="00E05E6F" w:rsidRDefault="00E05E6F" w:rsidP="00E05E6F">
      <w:pPr>
        <w:widowControl w:val="0"/>
        <w:ind w:firstLine="709"/>
        <w:jc w:val="both"/>
      </w:pPr>
      <w:r>
        <w:t xml:space="preserve">1.2. Порядок создания и использования запаса (резерва) технических средств системы оповещения населения Златоустовского городского округа </w:t>
      </w:r>
      <w:r>
        <w:lastRenderedPageBreak/>
        <w:t>(приложение 2).</w:t>
      </w:r>
    </w:p>
    <w:p w:rsidR="00E05E6F" w:rsidRDefault="00E05E6F" w:rsidP="00E05E6F">
      <w:pPr>
        <w:widowControl w:val="0"/>
        <w:ind w:firstLine="709"/>
        <w:jc w:val="both"/>
      </w:pPr>
      <w:r>
        <w:t>2. Определить пункты хранения запаса (резерва) технических средств оповещения населения Златоустовского городского округа (приложение 3).</w:t>
      </w:r>
    </w:p>
    <w:p w:rsidR="00E05E6F" w:rsidRDefault="00E05E6F" w:rsidP="00E05E6F">
      <w:pPr>
        <w:widowControl w:val="0"/>
        <w:ind w:firstLine="709"/>
        <w:jc w:val="both"/>
      </w:pPr>
      <w:r>
        <w:t>3. Пресс-службе Администрации Златоустов</w:t>
      </w:r>
      <w:r w:rsidR="00B66D3C">
        <w:t>ского городского округа (</w:t>
      </w:r>
      <w:proofErr w:type="spellStart"/>
      <w:r w:rsidR="00B66D3C">
        <w:t>Валова</w:t>
      </w:r>
      <w:proofErr w:type="spellEnd"/>
      <w:r w:rsidR="00B66D3C">
        <w:t> </w:t>
      </w:r>
      <w:r>
        <w:t xml:space="preserve">И.А.) опубликовать настоящее постановление в официальных средствах массовой информации и </w:t>
      </w:r>
      <w:r w:rsidRPr="005B1E8C">
        <w:t>разместить на официальном сайте Златоустовского городского округа в сети «Интернет».</w:t>
      </w:r>
    </w:p>
    <w:p w:rsidR="009416DA" w:rsidRDefault="00E05E6F" w:rsidP="00E05E6F">
      <w:pPr>
        <w:widowControl w:val="0"/>
        <w:ind w:firstLine="709"/>
        <w:jc w:val="both"/>
      </w:pPr>
      <w:r>
        <w:t xml:space="preserve">4. Организацию выполнения настоящего постановления возложить </w:t>
      </w:r>
      <w:r>
        <w:br/>
        <w:t>на заместителя Главы Златоустовского городского округа по инфраструктуре Бобылева В.В.</w:t>
      </w:r>
    </w:p>
    <w:p w:rsidR="00406295" w:rsidRPr="00E335AA" w:rsidRDefault="00406295" w:rsidP="008A3BD8">
      <w:pPr>
        <w:widowControl w:val="0"/>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E05E6F">
        <w:trPr>
          <w:trHeight w:val="1570"/>
        </w:trPr>
        <w:tc>
          <w:tcPr>
            <w:tcW w:w="4253" w:type="dxa"/>
            <w:vAlign w:val="bottom"/>
          </w:tcPr>
          <w:p w:rsidR="00347398" w:rsidRPr="00E335AA" w:rsidRDefault="00E601A5" w:rsidP="00392DA7">
            <w:proofErr w:type="gramStart"/>
            <w:r w:rsidRPr="00B4061B">
              <w:t>Исполняющий</w:t>
            </w:r>
            <w:proofErr w:type="gramEnd"/>
            <w:r w:rsidRPr="00B4061B">
              <w:t xml:space="preserve"> обязанности Главы Златоустовского городского округа</w:t>
            </w:r>
          </w:p>
        </w:tc>
        <w:tc>
          <w:tcPr>
            <w:tcW w:w="3260" w:type="dxa"/>
            <w:vAlign w:val="center"/>
          </w:tcPr>
          <w:p w:rsidR="00347398" w:rsidRDefault="007D5BE3" w:rsidP="00E601A5">
            <w:pPr>
              <w:jc w:val="center"/>
            </w:pPr>
            <w:r w:rsidRPr="007D5BE3">
              <w:rPr>
                <w:noProof/>
              </w:rPr>
              <w:drawing>
                <wp:inline distT="0" distB="0" distL="0" distR="0" wp14:anchorId="7A49BDAB" wp14:editId="79FE39A9">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E601A5" w:rsidP="00E601A5">
            <w:pPr>
              <w:jc w:val="right"/>
            </w:pPr>
            <w:r w:rsidRPr="00B4061B">
              <w:t>А.Ю. Сюзев</w:t>
            </w:r>
          </w:p>
        </w:tc>
      </w:tr>
    </w:tbl>
    <w:p w:rsidR="00CF1C4C" w:rsidRDefault="00CF1C4C"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E05E6F" w:rsidRDefault="00E05E6F" w:rsidP="004574CC"/>
    <w:p w:rsidR="007C3F3F" w:rsidRDefault="007C3F3F" w:rsidP="004574CC"/>
    <w:p w:rsidR="007C3F3F" w:rsidRDefault="007C3F3F" w:rsidP="004574CC"/>
    <w:p w:rsidR="00E05E6F" w:rsidRDefault="00E05E6F" w:rsidP="004574CC"/>
    <w:p w:rsidR="00E05E6F" w:rsidRDefault="00E05E6F" w:rsidP="00E05E6F">
      <w:pPr>
        <w:jc w:val="both"/>
        <w:rPr>
          <w:sz w:val="24"/>
          <w:szCs w:val="24"/>
        </w:rPr>
      </w:pPr>
      <w:r w:rsidRPr="00E05E6F">
        <w:rPr>
          <w:sz w:val="24"/>
          <w:szCs w:val="24"/>
        </w:rPr>
        <w:t xml:space="preserve">Рассылка: </w:t>
      </w:r>
      <w:proofErr w:type="gramStart"/>
      <w:r w:rsidRPr="00E05E6F">
        <w:rPr>
          <w:sz w:val="24"/>
          <w:szCs w:val="24"/>
        </w:rPr>
        <w:t xml:space="preserve">Бобылев В.В., </w:t>
      </w:r>
      <w:proofErr w:type="spellStart"/>
      <w:r w:rsidRPr="00E05E6F">
        <w:rPr>
          <w:sz w:val="24"/>
          <w:szCs w:val="24"/>
        </w:rPr>
        <w:t>Ганеев</w:t>
      </w:r>
      <w:proofErr w:type="spellEnd"/>
      <w:r w:rsidRPr="00E05E6F">
        <w:rPr>
          <w:sz w:val="24"/>
          <w:szCs w:val="24"/>
        </w:rPr>
        <w:t xml:space="preserve"> Ю.А., </w:t>
      </w:r>
      <w:proofErr w:type="spellStart"/>
      <w:r w:rsidRPr="00E05E6F">
        <w:rPr>
          <w:sz w:val="24"/>
          <w:szCs w:val="24"/>
        </w:rPr>
        <w:t>Жиган</w:t>
      </w:r>
      <w:r w:rsidR="00826EB0">
        <w:rPr>
          <w:sz w:val="24"/>
          <w:szCs w:val="24"/>
        </w:rPr>
        <w:t>ь</w:t>
      </w:r>
      <w:r>
        <w:rPr>
          <w:sz w:val="24"/>
          <w:szCs w:val="24"/>
        </w:rPr>
        <w:t>ш</w:t>
      </w:r>
      <w:r w:rsidRPr="00E05E6F">
        <w:rPr>
          <w:sz w:val="24"/>
          <w:szCs w:val="24"/>
        </w:rPr>
        <w:t>ин</w:t>
      </w:r>
      <w:proofErr w:type="spellEnd"/>
      <w:r w:rsidRPr="00E05E6F">
        <w:rPr>
          <w:sz w:val="24"/>
          <w:szCs w:val="24"/>
        </w:rPr>
        <w:t xml:space="preserve"> В.Р</w:t>
      </w:r>
      <w:r>
        <w:rPr>
          <w:sz w:val="24"/>
          <w:szCs w:val="24"/>
        </w:rPr>
        <w:t>.</w:t>
      </w:r>
      <w:r w:rsidRPr="00E05E6F">
        <w:rPr>
          <w:sz w:val="24"/>
          <w:szCs w:val="24"/>
        </w:rPr>
        <w:t xml:space="preserve">, Сабанов О.В., Сюзев А.Ю., </w:t>
      </w:r>
      <w:r>
        <w:rPr>
          <w:sz w:val="24"/>
          <w:szCs w:val="24"/>
        </w:rPr>
        <w:br/>
      </w:r>
      <w:proofErr w:type="spellStart"/>
      <w:r>
        <w:rPr>
          <w:sz w:val="24"/>
          <w:szCs w:val="24"/>
        </w:rPr>
        <w:t>Ш</w:t>
      </w:r>
      <w:r w:rsidRPr="00E05E6F">
        <w:rPr>
          <w:sz w:val="24"/>
          <w:szCs w:val="24"/>
        </w:rPr>
        <w:t>иркова</w:t>
      </w:r>
      <w:proofErr w:type="spellEnd"/>
      <w:r w:rsidRPr="00E05E6F">
        <w:rPr>
          <w:sz w:val="24"/>
          <w:szCs w:val="24"/>
        </w:rPr>
        <w:t xml:space="preserve"> Н.А., 1 ПСО ФПС ГПС ГУ МЧС России по </w:t>
      </w:r>
      <w:proofErr w:type="spellStart"/>
      <w:r w:rsidRPr="00E05E6F">
        <w:rPr>
          <w:sz w:val="24"/>
          <w:szCs w:val="24"/>
        </w:rPr>
        <w:t>Челяб</w:t>
      </w:r>
      <w:proofErr w:type="spellEnd"/>
      <w:r w:rsidRPr="00E05E6F">
        <w:rPr>
          <w:sz w:val="24"/>
          <w:szCs w:val="24"/>
        </w:rPr>
        <w:t>. обл.,</w:t>
      </w:r>
      <w:r>
        <w:rPr>
          <w:sz w:val="24"/>
          <w:szCs w:val="24"/>
        </w:rPr>
        <w:t xml:space="preserve"> С</w:t>
      </w:r>
      <w:r w:rsidR="00B66D3C">
        <w:rPr>
          <w:sz w:val="24"/>
          <w:szCs w:val="24"/>
        </w:rPr>
        <w:t>обрание депутатов</w:t>
      </w:r>
      <w:r w:rsidRPr="00E05E6F">
        <w:rPr>
          <w:sz w:val="24"/>
          <w:szCs w:val="24"/>
        </w:rPr>
        <w:t xml:space="preserve">, </w:t>
      </w:r>
      <w:r>
        <w:rPr>
          <w:sz w:val="24"/>
          <w:szCs w:val="24"/>
        </w:rPr>
        <w:t xml:space="preserve">ОМВД, </w:t>
      </w:r>
      <w:proofErr w:type="spellStart"/>
      <w:r>
        <w:rPr>
          <w:sz w:val="24"/>
          <w:szCs w:val="24"/>
        </w:rPr>
        <w:t>ОНДи</w:t>
      </w:r>
      <w:r w:rsidR="00B66D3C">
        <w:rPr>
          <w:sz w:val="24"/>
          <w:szCs w:val="24"/>
        </w:rPr>
        <w:t>ПР</w:t>
      </w:r>
      <w:proofErr w:type="spellEnd"/>
      <w:r w:rsidR="00B66D3C">
        <w:rPr>
          <w:sz w:val="24"/>
          <w:szCs w:val="24"/>
        </w:rPr>
        <w:t xml:space="preserve"> №1 </w:t>
      </w:r>
      <w:proofErr w:type="spellStart"/>
      <w:r w:rsidR="00B66D3C">
        <w:rPr>
          <w:sz w:val="24"/>
          <w:szCs w:val="24"/>
        </w:rPr>
        <w:t>УНДи</w:t>
      </w:r>
      <w:r w:rsidRPr="00E05E6F">
        <w:rPr>
          <w:sz w:val="24"/>
          <w:szCs w:val="24"/>
        </w:rPr>
        <w:t>ПР</w:t>
      </w:r>
      <w:proofErr w:type="spellEnd"/>
      <w:r w:rsidRPr="00E05E6F">
        <w:rPr>
          <w:sz w:val="24"/>
          <w:szCs w:val="24"/>
        </w:rPr>
        <w:t xml:space="preserve"> ГУ МЧС России по </w:t>
      </w:r>
      <w:proofErr w:type="spellStart"/>
      <w:r w:rsidRPr="00E05E6F">
        <w:rPr>
          <w:sz w:val="24"/>
          <w:szCs w:val="24"/>
        </w:rPr>
        <w:t>Челяб</w:t>
      </w:r>
      <w:proofErr w:type="spellEnd"/>
      <w:r w:rsidRPr="00E05E6F">
        <w:rPr>
          <w:sz w:val="24"/>
          <w:szCs w:val="24"/>
        </w:rPr>
        <w:t xml:space="preserve">. обл., </w:t>
      </w:r>
      <w:r>
        <w:rPr>
          <w:sz w:val="24"/>
          <w:szCs w:val="24"/>
        </w:rPr>
        <w:t>ФУ</w:t>
      </w:r>
      <w:r w:rsidRPr="00E05E6F">
        <w:rPr>
          <w:sz w:val="24"/>
          <w:szCs w:val="24"/>
        </w:rPr>
        <w:t xml:space="preserve">, </w:t>
      </w:r>
      <w:proofErr w:type="spellStart"/>
      <w:r w:rsidR="004F2A8C">
        <w:rPr>
          <w:sz w:val="24"/>
          <w:szCs w:val="24"/>
        </w:rPr>
        <w:t>Серв</w:t>
      </w:r>
      <w:proofErr w:type="spellEnd"/>
      <w:r w:rsidR="004F2A8C">
        <w:rPr>
          <w:sz w:val="24"/>
          <w:szCs w:val="24"/>
        </w:rPr>
        <w:t>. центр</w:t>
      </w:r>
      <w:r w:rsidRPr="00E05E6F">
        <w:rPr>
          <w:sz w:val="24"/>
          <w:szCs w:val="24"/>
        </w:rPr>
        <w:t xml:space="preserve"> в г. Златоуст ПАО «Ростелеком», </w:t>
      </w:r>
      <w:r>
        <w:rPr>
          <w:sz w:val="24"/>
          <w:szCs w:val="24"/>
        </w:rPr>
        <w:t>ПУ</w:t>
      </w:r>
      <w:r w:rsidRPr="00E05E6F">
        <w:rPr>
          <w:sz w:val="24"/>
          <w:szCs w:val="24"/>
        </w:rPr>
        <w:t>, МКУ «</w:t>
      </w:r>
      <w:r>
        <w:rPr>
          <w:sz w:val="24"/>
          <w:szCs w:val="24"/>
        </w:rPr>
        <w:t>ГЗ ЗГО», прокуратура, пресс-служба</w:t>
      </w:r>
      <w:proofErr w:type="gramEnd"/>
    </w:p>
    <w:p w:rsidR="00E05E6F" w:rsidRDefault="00E05E6F" w:rsidP="00E05E6F">
      <w:pPr>
        <w:jc w:val="both"/>
        <w:rPr>
          <w:sz w:val="24"/>
          <w:szCs w:val="24"/>
        </w:rPr>
        <w:sectPr w:rsidR="00E05E6F" w:rsidSect="00E05E6F">
          <w:headerReference w:type="default" r:id="rId10"/>
          <w:footerReference w:type="default" r:id="rId11"/>
          <w:headerReference w:type="first" r:id="rId12"/>
          <w:footerReference w:type="first" r:id="rId13"/>
          <w:pgSz w:w="11906" w:h="16838"/>
          <w:pgMar w:top="680" w:right="567" w:bottom="680" w:left="1701" w:header="454" w:footer="397" w:gutter="0"/>
          <w:pgNumType w:start="1"/>
          <w:cols w:space="708"/>
          <w:titlePg/>
          <w:docGrid w:linePitch="360"/>
        </w:sectPr>
      </w:pPr>
    </w:p>
    <w:p w:rsidR="00E601A5" w:rsidRDefault="00E601A5" w:rsidP="00E601A5">
      <w:pPr>
        <w:ind w:left="9781"/>
        <w:jc w:val="center"/>
      </w:pPr>
      <w:r>
        <w:lastRenderedPageBreak/>
        <w:t>ПРИЛОЖЕНИЕ</w:t>
      </w:r>
      <w:r w:rsidR="005D4367">
        <w:t xml:space="preserve"> 1</w:t>
      </w:r>
    </w:p>
    <w:p w:rsidR="00E601A5" w:rsidRDefault="00E601A5" w:rsidP="00E601A5">
      <w:pPr>
        <w:pStyle w:val="ac"/>
        <w:ind w:left="9781"/>
        <w:jc w:val="center"/>
        <w:rPr>
          <w:rFonts w:ascii="Times New Roman" w:hAnsi="Times New Roman" w:cs="Times New Roman"/>
          <w:sz w:val="28"/>
          <w:szCs w:val="28"/>
        </w:rPr>
      </w:pPr>
      <w:r>
        <w:rPr>
          <w:rFonts w:ascii="Times New Roman" w:hAnsi="Times New Roman" w:cs="Times New Roman"/>
          <w:sz w:val="28"/>
          <w:szCs w:val="28"/>
        </w:rPr>
        <w:t>Утверждено</w:t>
      </w:r>
    </w:p>
    <w:p w:rsidR="00E601A5" w:rsidRDefault="00E601A5" w:rsidP="00E601A5">
      <w:pPr>
        <w:pStyle w:val="ac"/>
        <w:ind w:left="9781"/>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E601A5" w:rsidRDefault="00E601A5" w:rsidP="00E601A5">
      <w:pPr>
        <w:ind w:left="9781"/>
        <w:jc w:val="center"/>
      </w:pPr>
      <w:r>
        <w:t>Златоустовского городского округа</w:t>
      </w:r>
    </w:p>
    <w:p w:rsidR="00E601A5" w:rsidRDefault="00E601A5" w:rsidP="00E601A5">
      <w:pPr>
        <w:pStyle w:val="ac"/>
        <w:ind w:left="9781"/>
        <w:jc w:val="center"/>
        <w:rPr>
          <w:rFonts w:ascii="Times New Roman" w:hAnsi="Times New Roman" w:cs="Times New Roman"/>
          <w:sz w:val="28"/>
          <w:szCs w:val="28"/>
        </w:rPr>
      </w:pPr>
      <w:r>
        <w:rPr>
          <w:rFonts w:ascii="Times New Roman" w:hAnsi="Times New Roman" w:cs="Times New Roman"/>
          <w:sz w:val="28"/>
          <w:szCs w:val="28"/>
        </w:rPr>
        <w:t xml:space="preserve">от </w:t>
      </w:r>
      <w:r w:rsidR="007075AD">
        <w:rPr>
          <w:rFonts w:ascii="Times New Roman" w:hAnsi="Times New Roman" w:cs="Times New Roman"/>
          <w:sz w:val="28"/>
          <w:szCs w:val="28"/>
        </w:rPr>
        <w:t>22.05.2024 г.</w:t>
      </w:r>
      <w:r>
        <w:rPr>
          <w:rFonts w:ascii="Times New Roman" w:hAnsi="Times New Roman" w:cs="Times New Roman"/>
          <w:sz w:val="28"/>
          <w:szCs w:val="28"/>
        </w:rPr>
        <w:t xml:space="preserve"> № </w:t>
      </w:r>
      <w:r w:rsidR="007075AD">
        <w:rPr>
          <w:rFonts w:ascii="Times New Roman" w:hAnsi="Times New Roman" w:cs="Times New Roman"/>
          <w:sz w:val="28"/>
          <w:szCs w:val="28"/>
        </w:rPr>
        <w:t>162-П/</w:t>
      </w:r>
      <w:proofErr w:type="gramStart"/>
      <w:r w:rsidR="007075AD">
        <w:rPr>
          <w:rFonts w:ascii="Times New Roman" w:hAnsi="Times New Roman" w:cs="Times New Roman"/>
          <w:sz w:val="28"/>
          <w:szCs w:val="28"/>
        </w:rPr>
        <w:t>АДМ</w:t>
      </w:r>
      <w:proofErr w:type="gramEnd"/>
    </w:p>
    <w:p w:rsidR="00E601A5" w:rsidRDefault="00E601A5" w:rsidP="00E601A5">
      <w:pPr>
        <w:tabs>
          <w:tab w:val="left" w:pos="5529"/>
        </w:tabs>
        <w:suppressAutoHyphens/>
        <w:ind w:left="5103"/>
        <w:jc w:val="center"/>
      </w:pPr>
    </w:p>
    <w:p w:rsidR="00E601A5" w:rsidRDefault="00E601A5" w:rsidP="00E601A5">
      <w:pPr>
        <w:jc w:val="center"/>
      </w:pPr>
      <w:r>
        <w:t>Номенклатура,</w:t>
      </w:r>
    </w:p>
    <w:p w:rsidR="00E05E6F" w:rsidRDefault="00E601A5" w:rsidP="00E601A5">
      <w:pPr>
        <w:jc w:val="center"/>
      </w:pPr>
      <w:r>
        <w:t>объем запаса (резерва) технических средств оповещения населения Златоустовского городского округа</w:t>
      </w:r>
    </w:p>
    <w:p w:rsidR="00E05E6F" w:rsidRPr="005D4367" w:rsidRDefault="00E05E6F" w:rsidP="004574CC">
      <w:pPr>
        <w:rPr>
          <w:sz w:val="16"/>
          <w:szCs w:val="16"/>
        </w:rPr>
      </w:pPr>
    </w:p>
    <w:tbl>
      <w:tblPr>
        <w:tblW w:w="1616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6804"/>
        <w:gridCol w:w="1418"/>
        <w:gridCol w:w="2409"/>
        <w:gridCol w:w="3544"/>
        <w:gridCol w:w="1559"/>
      </w:tblGrid>
      <w:tr w:rsidR="00E601A5" w:rsidRPr="00E601A5" w:rsidTr="00E601A5">
        <w:tc>
          <w:tcPr>
            <w:tcW w:w="426" w:type="dxa"/>
            <w:tcBorders>
              <w:top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57" w:right="-57"/>
              <w:jc w:val="center"/>
              <w:rPr>
                <w:sz w:val="24"/>
                <w:szCs w:val="24"/>
              </w:rPr>
            </w:pPr>
            <w:r w:rsidRPr="00E601A5">
              <w:rPr>
                <w:sz w:val="24"/>
                <w:szCs w:val="24"/>
              </w:rPr>
              <w:t>№</w:t>
            </w:r>
          </w:p>
          <w:p w:rsidR="00E601A5" w:rsidRPr="00E601A5" w:rsidRDefault="00E601A5" w:rsidP="00E601A5">
            <w:pPr>
              <w:widowControl w:val="0"/>
              <w:autoSpaceDE w:val="0"/>
              <w:autoSpaceDN w:val="0"/>
              <w:adjustRightInd w:val="0"/>
              <w:ind w:left="-57" w:right="-57"/>
              <w:jc w:val="center"/>
              <w:rPr>
                <w:sz w:val="24"/>
                <w:szCs w:val="24"/>
              </w:rPr>
            </w:pPr>
            <w:proofErr w:type="gramStart"/>
            <w:r w:rsidRPr="00E601A5">
              <w:rPr>
                <w:sz w:val="24"/>
                <w:szCs w:val="24"/>
              </w:rPr>
              <w:t>п</w:t>
            </w:r>
            <w:proofErr w:type="gramEnd"/>
            <w:r w:rsidRPr="00E601A5">
              <w:rPr>
                <w:sz w:val="24"/>
                <w:szCs w:val="24"/>
              </w:rPr>
              <w:t>/п</w:t>
            </w:r>
          </w:p>
        </w:tc>
        <w:tc>
          <w:tcPr>
            <w:tcW w:w="680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5D4367">
            <w:pPr>
              <w:widowControl w:val="0"/>
              <w:autoSpaceDE w:val="0"/>
              <w:autoSpaceDN w:val="0"/>
              <w:adjustRightInd w:val="0"/>
              <w:ind w:left="-85" w:right="-85"/>
              <w:jc w:val="center"/>
              <w:rPr>
                <w:sz w:val="24"/>
                <w:szCs w:val="24"/>
              </w:rPr>
            </w:pPr>
            <w:r w:rsidRPr="00E601A5">
              <w:rPr>
                <w:sz w:val="24"/>
                <w:szCs w:val="24"/>
              </w:rPr>
              <w:t>Номенклатура резерва технических средств оповещения населения</w:t>
            </w:r>
          </w:p>
        </w:tc>
        <w:tc>
          <w:tcPr>
            <w:tcW w:w="1418"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Ед. изм.</w:t>
            </w:r>
          </w:p>
        </w:tc>
        <w:tc>
          <w:tcPr>
            <w:tcW w:w="2409"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Объем резерва</w:t>
            </w:r>
          </w:p>
        </w:tc>
        <w:tc>
          <w:tcPr>
            <w:tcW w:w="354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Предназначение</w:t>
            </w:r>
          </w:p>
        </w:tc>
        <w:tc>
          <w:tcPr>
            <w:tcW w:w="1559" w:type="dxa"/>
            <w:tcBorders>
              <w:top w:val="single" w:sz="4" w:space="0" w:color="auto"/>
              <w:left w:val="single" w:sz="4" w:space="0" w:color="auto"/>
              <w:bottom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Примечания</w:t>
            </w:r>
          </w:p>
        </w:tc>
      </w:tr>
      <w:tr w:rsidR="00E601A5" w:rsidRPr="00E601A5" w:rsidTr="00E601A5">
        <w:tc>
          <w:tcPr>
            <w:tcW w:w="426" w:type="dxa"/>
            <w:tcBorders>
              <w:top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57" w:right="-57"/>
              <w:jc w:val="center"/>
              <w:rPr>
                <w:sz w:val="24"/>
                <w:szCs w:val="24"/>
              </w:rPr>
            </w:pPr>
            <w:r w:rsidRPr="00E601A5">
              <w:rPr>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5D4367">
            <w:pPr>
              <w:widowControl w:val="0"/>
              <w:autoSpaceDE w:val="0"/>
              <w:autoSpaceDN w:val="0"/>
              <w:adjustRightInd w:val="0"/>
              <w:ind w:left="-85" w:right="-85"/>
              <w:jc w:val="center"/>
              <w:rPr>
                <w:sz w:val="24"/>
                <w:szCs w:val="24"/>
              </w:rPr>
            </w:pPr>
            <w:r w:rsidRPr="00E601A5">
              <w:rPr>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5</w:t>
            </w:r>
          </w:p>
        </w:tc>
        <w:tc>
          <w:tcPr>
            <w:tcW w:w="1559" w:type="dxa"/>
            <w:tcBorders>
              <w:top w:val="single" w:sz="4" w:space="0" w:color="auto"/>
              <w:left w:val="single" w:sz="4" w:space="0" w:color="auto"/>
              <w:bottom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6</w:t>
            </w:r>
          </w:p>
        </w:tc>
      </w:tr>
      <w:tr w:rsidR="00E601A5" w:rsidRPr="00E601A5" w:rsidTr="00E601A5">
        <w:tc>
          <w:tcPr>
            <w:tcW w:w="16160" w:type="dxa"/>
            <w:gridSpan w:val="6"/>
            <w:tcBorders>
              <w:top w:val="single" w:sz="4" w:space="0" w:color="auto"/>
              <w:bottom w:val="single" w:sz="4" w:space="0" w:color="auto"/>
            </w:tcBorders>
            <w:vAlign w:val="center"/>
          </w:tcPr>
          <w:p w:rsidR="00E601A5" w:rsidRPr="00E601A5" w:rsidRDefault="00E601A5" w:rsidP="005D4367">
            <w:pPr>
              <w:widowControl w:val="0"/>
              <w:autoSpaceDE w:val="0"/>
              <w:autoSpaceDN w:val="0"/>
              <w:adjustRightInd w:val="0"/>
              <w:ind w:left="-85" w:right="-85"/>
              <w:jc w:val="center"/>
              <w:rPr>
                <w:sz w:val="24"/>
                <w:szCs w:val="24"/>
              </w:rPr>
            </w:pPr>
            <w:r w:rsidRPr="00E601A5">
              <w:rPr>
                <w:sz w:val="24"/>
                <w:szCs w:val="24"/>
              </w:rPr>
              <w:t xml:space="preserve">Технические средства оповещения </w:t>
            </w:r>
            <w:r>
              <w:rPr>
                <w:sz w:val="24"/>
                <w:szCs w:val="24"/>
              </w:rPr>
              <w:t xml:space="preserve"> </w:t>
            </w:r>
            <w:r w:rsidRPr="00E601A5">
              <w:rPr>
                <w:sz w:val="24"/>
                <w:szCs w:val="24"/>
              </w:rPr>
              <w:t>(</w:t>
            </w:r>
            <w:hyperlink r:id="rId14" w:history="1">
              <w:r w:rsidRPr="00E601A5">
                <w:rPr>
                  <w:sz w:val="24"/>
                  <w:szCs w:val="24"/>
                </w:rPr>
                <w:t xml:space="preserve">ГОСТ </w:t>
              </w:r>
              <w:proofErr w:type="gramStart"/>
              <w:r w:rsidRPr="00E601A5">
                <w:rPr>
                  <w:sz w:val="24"/>
                  <w:szCs w:val="24"/>
                </w:rPr>
                <w:t>Р</w:t>
              </w:r>
              <w:proofErr w:type="gramEnd"/>
              <w:r w:rsidRPr="00E601A5">
                <w:rPr>
                  <w:sz w:val="24"/>
                  <w:szCs w:val="24"/>
                </w:rPr>
                <w:t xml:space="preserve"> 42.3.05-20</w:t>
              </w:r>
            </w:hyperlink>
            <w:r w:rsidRPr="00E601A5">
              <w:rPr>
                <w:sz w:val="24"/>
                <w:szCs w:val="24"/>
              </w:rPr>
              <w:t>23</w:t>
            </w:r>
            <w:r>
              <w:rPr>
                <w:sz w:val="24"/>
                <w:szCs w:val="24"/>
              </w:rPr>
              <w:t xml:space="preserve"> «</w:t>
            </w:r>
            <w:r w:rsidRPr="00E601A5">
              <w:rPr>
                <w:sz w:val="24"/>
                <w:szCs w:val="24"/>
              </w:rPr>
              <w:t xml:space="preserve">Национальный стандарт Российской Федерации. Гражданская оборона. </w:t>
            </w:r>
            <w:r>
              <w:rPr>
                <w:sz w:val="24"/>
                <w:szCs w:val="24"/>
              </w:rPr>
              <w:br/>
            </w:r>
            <w:r w:rsidRPr="00E601A5">
              <w:rPr>
                <w:sz w:val="24"/>
                <w:szCs w:val="24"/>
              </w:rPr>
              <w:t xml:space="preserve">Технические средства оповещения населения. Протоколы информационного обмена. </w:t>
            </w:r>
            <w:proofErr w:type="gramStart"/>
            <w:r w:rsidRPr="00E601A5">
              <w:rPr>
                <w:sz w:val="24"/>
                <w:szCs w:val="24"/>
              </w:rPr>
              <w:t>Общие требования</w:t>
            </w:r>
            <w:r>
              <w:rPr>
                <w:sz w:val="24"/>
                <w:szCs w:val="24"/>
              </w:rPr>
              <w:t>»</w:t>
            </w:r>
            <w:r w:rsidRPr="00E601A5">
              <w:rPr>
                <w:sz w:val="24"/>
                <w:szCs w:val="24"/>
              </w:rPr>
              <w:t>)</w:t>
            </w:r>
            <w:proofErr w:type="gramEnd"/>
          </w:p>
        </w:tc>
      </w:tr>
      <w:tr w:rsidR="00E601A5" w:rsidRPr="00E601A5" w:rsidTr="00E601A5">
        <w:tc>
          <w:tcPr>
            <w:tcW w:w="426" w:type="dxa"/>
            <w:tcBorders>
              <w:top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57" w:right="-57"/>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5D4367">
            <w:pPr>
              <w:widowControl w:val="0"/>
              <w:autoSpaceDE w:val="0"/>
              <w:autoSpaceDN w:val="0"/>
              <w:adjustRightInd w:val="0"/>
              <w:ind w:left="-57" w:right="-57"/>
              <w:jc w:val="both"/>
              <w:rPr>
                <w:sz w:val="24"/>
                <w:szCs w:val="24"/>
              </w:rPr>
            </w:pPr>
            <w:r>
              <w:rPr>
                <w:sz w:val="24"/>
                <w:szCs w:val="24"/>
              </w:rPr>
              <w:t>- </w:t>
            </w:r>
            <w:r w:rsidRPr="00E601A5">
              <w:rPr>
                <w:sz w:val="24"/>
                <w:szCs w:val="24"/>
              </w:rPr>
              <w:t>автоматизированное рабочее место (далее - АРМ) основного АРМ оповещения (критичные</w:t>
            </w:r>
            <w:r>
              <w:rPr>
                <w:sz w:val="24"/>
                <w:szCs w:val="24"/>
              </w:rPr>
              <w:t xml:space="preserve"> </w:t>
            </w:r>
            <w:r w:rsidRPr="00E601A5">
              <w:rPr>
                <w:sz w:val="24"/>
                <w:szCs w:val="24"/>
              </w:rPr>
              <w:t>для функционирования составные части)</w:t>
            </w:r>
          </w:p>
          <w:p w:rsidR="00E601A5" w:rsidRPr="00E601A5" w:rsidRDefault="00E601A5" w:rsidP="005D4367">
            <w:pPr>
              <w:widowControl w:val="0"/>
              <w:autoSpaceDE w:val="0"/>
              <w:autoSpaceDN w:val="0"/>
              <w:adjustRightInd w:val="0"/>
              <w:ind w:left="-57" w:right="-57"/>
              <w:jc w:val="both"/>
              <w:rPr>
                <w:sz w:val="24"/>
                <w:szCs w:val="24"/>
              </w:rPr>
            </w:pPr>
            <w:r>
              <w:rPr>
                <w:sz w:val="24"/>
                <w:szCs w:val="24"/>
              </w:rPr>
              <w:t>- </w:t>
            </w:r>
            <w:r w:rsidRPr="00E601A5">
              <w:rPr>
                <w:sz w:val="24"/>
                <w:szCs w:val="24"/>
              </w:rPr>
              <w:t xml:space="preserve">аппаратура запуска и мониторинга специальных оконечных средств оповещения населения (критичные </w:t>
            </w:r>
            <w:r w:rsidR="005D4367">
              <w:rPr>
                <w:sz w:val="24"/>
                <w:szCs w:val="24"/>
              </w:rPr>
              <w:br/>
            </w:r>
            <w:r w:rsidRPr="00E601A5">
              <w:rPr>
                <w:sz w:val="24"/>
                <w:szCs w:val="24"/>
              </w:rPr>
              <w:t>для функционирования составные части)</w:t>
            </w:r>
          </w:p>
          <w:p w:rsidR="00E601A5" w:rsidRPr="00E601A5" w:rsidRDefault="00E601A5" w:rsidP="005D4367">
            <w:pPr>
              <w:widowControl w:val="0"/>
              <w:autoSpaceDE w:val="0"/>
              <w:autoSpaceDN w:val="0"/>
              <w:adjustRightInd w:val="0"/>
              <w:ind w:left="-57" w:right="-57"/>
              <w:jc w:val="both"/>
              <w:rPr>
                <w:sz w:val="24"/>
                <w:szCs w:val="24"/>
              </w:rPr>
            </w:pPr>
            <w:r>
              <w:rPr>
                <w:sz w:val="24"/>
                <w:szCs w:val="24"/>
              </w:rPr>
              <w:t>- </w:t>
            </w:r>
            <w:r w:rsidRPr="00E601A5">
              <w:rPr>
                <w:sz w:val="24"/>
                <w:szCs w:val="24"/>
              </w:rPr>
              <w:t>специальные оконечные средств оповещения населения (критичные для функционирования составные части)</w:t>
            </w:r>
          </w:p>
        </w:tc>
        <w:tc>
          <w:tcPr>
            <w:tcW w:w="1418"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комплект</w:t>
            </w:r>
          </w:p>
        </w:tc>
        <w:tc>
          <w:tcPr>
            <w:tcW w:w="2409"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 xml:space="preserve">Не менее 5% </w:t>
            </w:r>
            <w:r>
              <w:rPr>
                <w:sz w:val="24"/>
                <w:szCs w:val="24"/>
              </w:rPr>
              <w:br/>
            </w:r>
            <w:r w:rsidRPr="00E601A5">
              <w:rPr>
                <w:sz w:val="24"/>
                <w:szCs w:val="24"/>
              </w:rPr>
              <w:t>от полного проектного состава оборудования муниципальной</w:t>
            </w:r>
            <w:r>
              <w:rPr>
                <w:sz w:val="24"/>
                <w:szCs w:val="24"/>
              </w:rPr>
              <w:t xml:space="preserve"> </w:t>
            </w:r>
            <w:r w:rsidRPr="00E601A5">
              <w:rPr>
                <w:sz w:val="24"/>
                <w:szCs w:val="24"/>
              </w:rPr>
              <w:t>системы</w:t>
            </w:r>
            <w:r>
              <w:rPr>
                <w:sz w:val="24"/>
                <w:szCs w:val="24"/>
              </w:rPr>
              <w:t xml:space="preserve"> </w:t>
            </w:r>
            <w:r w:rsidRPr="00E601A5">
              <w:rPr>
                <w:sz w:val="24"/>
                <w:szCs w:val="24"/>
              </w:rPr>
              <w:t xml:space="preserve">оповещения населения </w:t>
            </w:r>
            <w:r>
              <w:rPr>
                <w:sz w:val="24"/>
                <w:szCs w:val="24"/>
              </w:rPr>
              <w:br/>
            </w:r>
            <w:r w:rsidRPr="00E601A5">
              <w:rPr>
                <w:sz w:val="24"/>
                <w:szCs w:val="24"/>
              </w:rPr>
              <w:t>(далее - МСОН)</w:t>
            </w:r>
          </w:p>
        </w:tc>
        <w:tc>
          <w:tcPr>
            <w:tcW w:w="354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Резервирование стационарных средств МСОН</w:t>
            </w:r>
          </w:p>
        </w:tc>
        <w:tc>
          <w:tcPr>
            <w:tcW w:w="1559" w:type="dxa"/>
            <w:tcBorders>
              <w:top w:val="single" w:sz="4" w:space="0" w:color="auto"/>
              <w:left w:val="single" w:sz="4" w:space="0" w:color="auto"/>
              <w:bottom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p>
        </w:tc>
      </w:tr>
      <w:tr w:rsidR="00E601A5" w:rsidRPr="00E601A5" w:rsidTr="00E601A5">
        <w:tc>
          <w:tcPr>
            <w:tcW w:w="16160" w:type="dxa"/>
            <w:gridSpan w:val="6"/>
            <w:tcBorders>
              <w:top w:val="single" w:sz="4" w:space="0" w:color="auto"/>
              <w:bottom w:val="single" w:sz="4" w:space="0" w:color="auto"/>
            </w:tcBorders>
            <w:vAlign w:val="center"/>
          </w:tcPr>
          <w:p w:rsidR="00E601A5" w:rsidRPr="00E601A5" w:rsidRDefault="00E601A5" w:rsidP="005D4367">
            <w:pPr>
              <w:widowControl w:val="0"/>
              <w:autoSpaceDE w:val="0"/>
              <w:autoSpaceDN w:val="0"/>
              <w:adjustRightInd w:val="0"/>
              <w:ind w:left="-57" w:right="-57"/>
              <w:jc w:val="center"/>
              <w:rPr>
                <w:sz w:val="24"/>
                <w:szCs w:val="24"/>
              </w:rPr>
            </w:pPr>
            <w:r w:rsidRPr="00E601A5">
              <w:rPr>
                <w:sz w:val="24"/>
                <w:szCs w:val="24"/>
              </w:rPr>
              <w:t>Мобильные технические средства оповещения населения:</w:t>
            </w:r>
          </w:p>
        </w:tc>
      </w:tr>
      <w:tr w:rsidR="00E601A5" w:rsidRPr="00E601A5" w:rsidTr="00E601A5">
        <w:tc>
          <w:tcPr>
            <w:tcW w:w="426" w:type="dxa"/>
            <w:tcBorders>
              <w:top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57" w:right="-57"/>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5D4367">
            <w:pPr>
              <w:widowControl w:val="0"/>
              <w:autoSpaceDE w:val="0"/>
              <w:autoSpaceDN w:val="0"/>
              <w:adjustRightInd w:val="0"/>
              <w:ind w:left="-57" w:right="-57"/>
              <w:jc w:val="both"/>
              <w:rPr>
                <w:sz w:val="24"/>
                <w:szCs w:val="24"/>
              </w:rPr>
            </w:pPr>
            <w:r>
              <w:rPr>
                <w:sz w:val="24"/>
                <w:szCs w:val="24"/>
              </w:rPr>
              <w:t>- </w:t>
            </w:r>
            <w:r w:rsidRPr="00E601A5">
              <w:rPr>
                <w:sz w:val="24"/>
                <w:szCs w:val="24"/>
              </w:rPr>
              <w:t>на автомобильной базе 1 ПСО ФПС ГПС ГУ МЧС Росси</w:t>
            </w:r>
            <w:r>
              <w:rPr>
                <w:sz w:val="24"/>
                <w:szCs w:val="24"/>
              </w:rPr>
              <w:t>йской Федерации</w:t>
            </w:r>
            <w:r w:rsidRPr="00E601A5">
              <w:rPr>
                <w:sz w:val="24"/>
                <w:szCs w:val="24"/>
              </w:rPr>
              <w:t xml:space="preserve"> по Челябинской области, оснащенные светосигнальной громкоговорящей установкой (СГУ)</w:t>
            </w:r>
          </w:p>
          <w:p w:rsidR="00E601A5" w:rsidRPr="00E601A5" w:rsidRDefault="00E601A5" w:rsidP="005D4367">
            <w:pPr>
              <w:widowControl w:val="0"/>
              <w:autoSpaceDE w:val="0"/>
              <w:autoSpaceDN w:val="0"/>
              <w:adjustRightInd w:val="0"/>
              <w:ind w:left="-57" w:right="-57"/>
              <w:jc w:val="both"/>
              <w:rPr>
                <w:sz w:val="24"/>
                <w:szCs w:val="24"/>
              </w:rPr>
            </w:pPr>
            <w:r>
              <w:rPr>
                <w:sz w:val="24"/>
                <w:szCs w:val="24"/>
              </w:rPr>
              <w:t>- </w:t>
            </w:r>
            <w:r w:rsidRPr="00E601A5">
              <w:rPr>
                <w:sz w:val="24"/>
                <w:szCs w:val="24"/>
              </w:rPr>
              <w:t>на автомобильной базе Отдела МВД</w:t>
            </w:r>
            <w:r>
              <w:rPr>
                <w:sz w:val="24"/>
                <w:szCs w:val="24"/>
              </w:rPr>
              <w:t xml:space="preserve"> Российской Федерации</w:t>
            </w:r>
            <w:r w:rsidRPr="00E601A5">
              <w:rPr>
                <w:sz w:val="24"/>
                <w:szCs w:val="24"/>
              </w:rPr>
              <w:t xml:space="preserve"> </w:t>
            </w:r>
            <w:r>
              <w:rPr>
                <w:sz w:val="24"/>
                <w:szCs w:val="24"/>
              </w:rPr>
              <w:br/>
            </w:r>
            <w:r w:rsidRPr="00E601A5">
              <w:rPr>
                <w:sz w:val="24"/>
                <w:szCs w:val="24"/>
              </w:rPr>
              <w:t>по Златоустовскому городскому округу</w:t>
            </w:r>
            <w:r w:rsidR="005D4367">
              <w:rPr>
                <w:sz w:val="24"/>
                <w:szCs w:val="24"/>
              </w:rPr>
              <w:t xml:space="preserve"> </w:t>
            </w:r>
            <w:r w:rsidRPr="00E601A5">
              <w:rPr>
                <w:sz w:val="24"/>
                <w:szCs w:val="24"/>
              </w:rPr>
              <w:t xml:space="preserve">ГУ МВД </w:t>
            </w:r>
            <w:r>
              <w:rPr>
                <w:sz w:val="24"/>
                <w:szCs w:val="24"/>
              </w:rPr>
              <w:t>Российской Федерации</w:t>
            </w:r>
            <w:r w:rsidRPr="00E601A5">
              <w:rPr>
                <w:sz w:val="24"/>
                <w:szCs w:val="24"/>
              </w:rPr>
              <w:t xml:space="preserve"> по Челябинской области, оснащенные светосигнальной громкоговорящей установкой (СГУ)</w:t>
            </w:r>
          </w:p>
        </w:tc>
        <w:tc>
          <w:tcPr>
            <w:tcW w:w="1418"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Ед.</w:t>
            </w:r>
          </w:p>
        </w:tc>
        <w:tc>
          <w:tcPr>
            <w:tcW w:w="2409"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1</w:t>
            </w:r>
          </w:p>
          <w:p w:rsidR="00E601A5" w:rsidRDefault="00E601A5" w:rsidP="00E601A5">
            <w:pPr>
              <w:widowControl w:val="0"/>
              <w:autoSpaceDE w:val="0"/>
              <w:autoSpaceDN w:val="0"/>
              <w:adjustRightInd w:val="0"/>
              <w:ind w:left="-85" w:right="-85"/>
              <w:jc w:val="center"/>
              <w:rPr>
                <w:sz w:val="24"/>
                <w:szCs w:val="24"/>
              </w:rPr>
            </w:pPr>
          </w:p>
          <w:p w:rsidR="00E601A5" w:rsidRDefault="00E601A5" w:rsidP="00E601A5">
            <w:pPr>
              <w:widowControl w:val="0"/>
              <w:autoSpaceDE w:val="0"/>
              <w:autoSpaceDN w:val="0"/>
              <w:adjustRightInd w:val="0"/>
              <w:ind w:left="-85" w:right="-85"/>
              <w:jc w:val="center"/>
              <w:rPr>
                <w:sz w:val="24"/>
                <w:szCs w:val="24"/>
              </w:rPr>
            </w:pPr>
          </w:p>
          <w:p w:rsidR="00426089" w:rsidRPr="00426089" w:rsidRDefault="00426089" w:rsidP="00E601A5">
            <w:pPr>
              <w:widowControl w:val="0"/>
              <w:autoSpaceDE w:val="0"/>
              <w:autoSpaceDN w:val="0"/>
              <w:adjustRightInd w:val="0"/>
              <w:ind w:left="-85" w:right="-85"/>
              <w:jc w:val="center"/>
              <w:rPr>
                <w:sz w:val="16"/>
                <w:szCs w:val="16"/>
              </w:rPr>
            </w:pPr>
          </w:p>
          <w:p w:rsidR="00E601A5" w:rsidRPr="00E601A5" w:rsidRDefault="00E601A5" w:rsidP="00E601A5">
            <w:pPr>
              <w:widowControl w:val="0"/>
              <w:autoSpaceDE w:val="0"/>
              <w:autoSpaceDN w:val="0"/>
              <w:adjustRightInd w:val="0"/>
              <w:ind w:left="-85" w:right="-85"/>
              <w:jc w:val="center"/>
              <w:rPr>
                <w:sz w:val="24"/>
                <w:szCs w:val="24"/>
              </w:rPr>
            </w:pPr>
          </w:p>
          <w:p w:rsidR="00E601A5" w:rsidRPr="00E601A5" w:rsidRDefault="00E601A5" w:rsidP="00E601A5">
            <w:pPr>
              <w:widowControl w:val="0"/>
              <w:autoSpaceDE w:val="0"/>
              <w:autoSpaceDN w:val="0"/>
              <w:adjustRightInd w:val="0"/>
              <w:ind w:left="-85" w:right="-85"/>
              <w:jc w:val="center"/>
              <w:rPr>
                <w:sz w:val="24"/>
                <w:szCs w:val="24"/>
              </w:rPr>
            </w:pPr>
          </w:p>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426089">
            <w:pPr>
              <w:widowControl w:val="0"/>
              <w:autoSpaceDE w:val="0"/>
              <w:autoSpaceDN w:val="0"/>
              <w:adjustRightInd w:val="0"/>
              <w:ind w:left="-85" w:right="-85"/>
              <w:jc w:val="center"/>
              <w:rPr>
                <w:sz w:val="24"/>
                <w:szCs w:val="24"/>
              </w:rPr>
            </w:pPr>
            <w:r w:rsidRPr="00E601A5">
              <w:rPr>
                <w:sz w:val="24"/>
                <w:szCs w:val="24"/>
              </w:rPr>
              <w:t xml:space="preserve">Обеспечение гарантированного оповещения населения, </w:t>
            </w:r>
            <w:r>
              <w:rPr>
                <w:sz w:val="24"/>
                <w:szCs w:val="24"/>
              </w:rPr>
              <w:br/>
            </w:r>
            <w:r w:rsidRPr="00E601A5">
              <w:rPr>
                <w:sz w:val="24"/>
                <w:szCs w:val="24"/>
              </w:rPr>
              <w:t>не охваченного</w:t>
            </w:r>
            <w:r>
              <w:rPr>
                <w:sz w:val="24"/>
                <w:szCs w:val="24"/>
              </w:rPr>
              <w:t xml:space="preserve"> </w:t>
            </w:r>
            <w:r w:rsidRPr="00E601A5">
              <w:rPr>
                <w:sz w:val="24"/>
                <w:szCs w:val="24"/>
              </w:rPr>
              <w:t xml:space="preserve">средствами МСОН в предполагаемых </w:t>
            </w:r>
            <w:r w:rsidR="00426089">
              <w:rPr>
                <w:sz w:val="24"/>
                <w:szCs w:val="24"/>
              </w:rPr>
              <w:br/>
            </w:r>
            <w:r w:rsidRPr="00E601A5">
              <w:rPr>
                <w:sz w:val="24"/>
                <w:szCs w:val="24"/>
              </w:rPr>
              <w:t>зонах ЧС</w:t>
            </w:r>
          </w:p>
        </w:tc>
        <w:tc>
          <w:tcPr>
            <w:tcW w:w="1559" w:type="dxa"/>
            <w:tcBorders>
              <w:top w:val="single" w:sz="4" w:space="0" w:color="auto"/>
              <w:left w:val="single" w:sz="4" w:space="0" w:color="auto"/>
              <w:bottom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Расположение в местах постоянной дислокации</w:t>
            </w:r>
          </w:p>
        </w:tc>
      </w:tr>
      <w:tr w:rsidR="00E601A5" w:rsidRPr="00E601A5" w:rsidTr="00E601A5">
        <w:tc>
          <w:tcPr>
            <w:tcW w:w="16160" w:type="dxa"/>
            <w:gridSpan w:val="6"/>
            <w:tcBorders>
              <w:top w:val="single" w:sz="4" w:space="0" w:color="auto"/>
              <w:bottom w:val="single" w:sz="4" w:space="0" w:color="auto"/>
            </w:tcBorders>
            <w:vAlign w:val="center"/>
          </w:tcPr>
          <w:p w:rsidR="00E601A5" w:rsidRPr="00E601A5" w:rsidRDefault="00E601A5" w:rsidP="005D4367">
            <w:pPr>
              <w:widowControl w:val="0"/>
              <w:autoSpaceDE w:val="0"/>
              <w:autoSpaceDN w:val="0"/>
              <w:adjustRightInd w:val="0"/>
              <w:ind w:left="-85" w:right="-85"/>
              <w:jc w:val="center"/>
              <w:rPr>
                <w:sz w:val="24"/>
                <w:szCs w:val="24"/>
              </w:rPr>
            </w:pPr>
            <w:r w:rsidRPr="00E601A5">
              <w:rPr>
                <w:sz w:val="24"/>
                <w:szCs w:val="24"/>
              </w:rPr>
              <w:t>Носимые технические средства оповещения населения:</w:t>
            </w:r>
          </w:p>
        </w:tc>
      </w:tr>
      <w:tr w:rsidR="00E601A5" w:rsidRPr="00E601A5" w:rsidTr="00E601A5">
        <w:tc>
          <w:tcPr>
            <w:tcW w:w="426" w:type="dxa"/>
            <w:tcBorders>
              <w:top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57" w:right="-57"/>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5D4367">
            <w:pPr>
              <w:widowControl w:val="0"/>
              <w:autoSpaceDE w:val="0"/>
              <w:autoSpaceDN w:val="0"/>
              <w:adjustRightInd w:val="0"/>
              <w:ind w:left="-85" w:right="-85"/>
              <w:jc w:val="both"/>
              <w:rPr>
                <w:sz w:val="24"/>
                <w:szCs w:val="24"/>
              </w:rPr>
            </w:pPr>
            <w:r>
              <w:rPr>
                <w:sz w:val="24"/>
                <w:szCs w:val="24"/>
              </w:rPr>
              <w:t>- </w:t>
            </w:r>
            <w:r w:rsidRPr="00E601A5">
              <w:rPr>
                <w:sz w:val="24"/>
                <w:szCs w:val="24"/>
              </w:rPr>
              <w:t>ручной электромегафон</w:t>
            </w:r>
          </w:p>
        </w:tc>
        <w:tc>
          <w:tcPr>
            <w:tcW w:w="1418"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Ед.</w:t>
            </w:r>
          </w:p>
        </w:tc>
        <w:tc>
          <w:tcPr>
            <w:tcW w:w="2409"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r w:rsidRPr="00E601A5">
              <w:rPr>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E601A5" w:rsidRPr="00E601A5" w:rsidRDefault="00E601A5" w:rsidP="00B66D3C">
            <w:pPr>
              <w:widowControl w:val="0"/>
              <w:autoSpaceDE w:val="0"/>
              <w:autoSpaceDN w:val="0"/>
              <w:adjustRightInd w:val="0"/>
              <w:ind w:left="-85" w:right="-85"/>
              <w:jc w:val="center"/>
              <w:rPr>
                <w:sz w:val="24"/>
                <w:szCs w:val="24"/>
              </w:rPr>
            </w:pPr>
            <w:r w:rsidRPr="00E601A5">
              <w:rPr>
                <w:sz w:val="24"/>
                <w:szCs w:val="24"/>
              </w:rPr>
              <w:t xml:space="preserve">Обеспечение гарантированного оповещения населения, </w:t>
            </w:r>
            <w:r w:rsidR="00B66D3C">
              <w:rPr>
                <w:sz w:val="24"/>
                <w:szCs w:val="24"/>
              </w:rPr>
              <w:br/>
            </w:r>
            <w:r w:rsidRPr="00E601A5">
              <w:rPr>
                <w:sz w:val="24"/>
                <w:szCs w:val="24"/>
              </w:rPr>
              <w:t xml:space="preserve">не охваченного средствами МСОН в предполагаемых </w:t>
            </w:r>
            <w:r w:rsidR="00B66D3C">
              <w:rPr>
                <w:sz w:val="24"/>
                <w:szCs w:val="24"/>
              </w:rPr>
              <w:br/>
            </w:r>
            <w:r w:rsidRPr="00E601A5">
              <w:rPr>
                <w:sz w:val="24"/>
                <w:szCs w:val="24"/>
              </w:rPr>
              <w:t>зонах ЧС</w:t>
            </w:r>
          </w:p>
        </w:tc>
        <w:tc>
          <w:tcPr>
            <w:tcW w:w="1559" w:type="dxa"/>
            <w:tcBorders>
              <w:top w:val="single" w:sz="4" w:space="0" w:color="auto"/>
              <w:left w:val="single" w:sz="4" w:space="0" w:color="auto"/>
              <w:bottom w:val="single" w:sz="4" w:space="0" w:color="auto"/>
            </w:tcBorders>
            <w:vAlign w:val="center"/>
          </w:tcPr>
          <w:p w:rsidR="00E601A5" w:rsidRPr="00E601A5" w:rsidRDefault="00E601A5" w:rsidP="00E601A5">
            <w:pPr>
              <w:widowControl w:val="0"/>
              <w:autoSpaceDE w:val="0"/>
              <w:autoSpaceDN w:val="0"/>
              <w:adjustRightInd w:val="0"/>
              <w:ind w:left="-85" w:right="-85"/>
              <w:jc w:val="center"/>
              <w:rPr>
                <w:sz w:val="24"/>
                <w:szCs w:val="24"/>
              </w:rPr>
            </w:pPr>
          </w:p>
        </w:tc>
      </w:tr>
    </w:tbl>
    <w:p w:rsidR="00426089" w:rsidRDefault="00426089" w:rsidP="004574CC">
      <w:pPr>
        <w:sectPr w:rsidR="00426089" w:rsidSect="00E601A5">
          <w:pgSz w:w="16838" w:h="11906" w:orient="landscape"/>
          <w:pgMar w:top="567" w:right="567" w:bottom="567" w:left="567" w:header="454" w:footer="397" w:gutter="0"/>
          <w:pgNumType w:start="1"/>
          <w:cols w:space="708"/>
          <w:titlePg/>
          <w:docGrid w:linePitch="381"/>
        </w:sectPr>
      </w:pPr>
    </w:p>
    <w:p w:rsidR="00426089" w:rsidRDefault="00426089" w:rsidP="00426089">
      <w:pPr>
        <w:ind w:left="4536"/>
        <w:jc w:val="center"/>
      </w:pPr>
      <w:r>
        <w:t>ПРИЛОЖЕНИЕ 2</w:t>
      </w:r>
    </w:p>
    <w:p w:rsidR="00426089" w:rsidRDefault="00426089" w:rsidP="00426089">
      <w:pPr>
        <w:pStyle w:val="ac"/>
        <w:ind w:left="4536"/>
        <w:jc w:val="center"/>
        <w:rPr>
          <w:rFonts w:ascii="Times New Roman" w:hAnsi="Times New Roman" w:cs="Times New Roman"/>
          <w:sz w:val="28"/>
          <w:szCs w:val="28"/>
        </w:rPr>
      </w:pPr>
      <w:r>
        <w:rPr>
          <w:rFonts w:ascii="Times New Roman" w:hAnsi="Times New Roman" w:cs="Times New Roman"/>
          <w:sz w:val="28"/>
          <w:szCs w:val="28"/>
        </w:rPr>
        <w:t>Утверждено</w:t>
      </w:r>
    </w:p>
    <w:p w:rsidR="00426089" w:rsidRDefault="00426089" w:rsidP="00426089">
      <w:pPr>
        <w:pStyle w:val="ac"/>
        <w:ind w:left="453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426089" w:rsidRDefault="00426089" w:rsidP="00426089">
      <w:pPr>
        <w:ind w:left="4536"/>
        <w:jc w:val="center"/>
      </w:pPr>
      <w:r>
        <w:t>Златоустовского городского округа</w:t>
      </w:r>
    </w:p>
    <w:p w:rsidR="00426089" w:rsidRDefault="007075AD" w:rsidP="00426089">
      <w:pPr>
        <w:pStyle w:val="ac"/>
        <w:ind w:left="4536"/>
        <w:jc w:val="center"/>
        <w:rPr>
          <w:rFonts w:ascii="Times New Roman" w:hAnsi="Times New Roman" w:cs="Times New Roman"/>
          <w:sz w:val="28"/>
          <w:szCs w:val="28"/>
        </w:rPr>
      </w:pPr>
      <w:r>
        <w:rPr>
          <w:rFonts w:ascii="Times New Roman" w:hAnsi="Times New Roman" w:cs="Times New Roman"/>
          <w:sz w:val="28"/>
          <w:szCs w:val="28"/>
        </w:rPr>
        <w:t>от 22.05.2024 г. № 162-П/</w:t>
      </w:r>
      <w:proofErr w:type="gramStart"/>
      <w:r>
        <w:rPr>
          <w:rFonts w:ascii="Times New Roman" w:hAnsi="Times New Roman" w:cs="Times New Roman"/>
          <w:sz w:val="28"/>
          <w:szCs w:val="28"/>
        </w:rPr>
        <w:t>АДМ</w:t>
      </w:r>
      <w:proofErr w:type="gramEnd"/>
    </w:p>
    <w:p w:rsidR="00426089" w:rsidRDefault="00426089" w:rsidP="00426089">
      <w:pPr>
        <w:tabs>
          <w:tab w:val="left" w:pos="5529"/>
        </w:tabs>
        <w:suppressAutoHyphens/>
        <w:ind w:left="4536"/>
        <w:jc w:val="center"/>
      </w:pPr>
    </w:p>
    <w:p w:rsidR="00E05E6F" w:rsidRDefault="00E05E6F" w:rsidP="00426089">
      <w:pPr>
        <w:jc w:val="center"/>
      </w:pPr>
    </w:p>
    <w:p w:rsidR="00426089" w:rsidRDefault="00426089" w:rsidP="00426089">
      <w:pPr>
        <w:jc w:val="center"/>
      </w:pPr>
      <w:r>
        <w:t>Порядок</w:t>
      </w:r>
    </w:p>
    <w:p w:rsidR="00426089" w:rsidRDefault="00426089" w:rsidP="00426089">
      <w:pPr>
        <w:jc w:val="center"/>
      </w:pPr>
      <w:r>
        <w:t>создания и использования запаса (резерва) технических средств системы оповещения населения Златоустовского городского округа</w:t>
      </w:r>
    </w:p>
    <w:p w:rsidR="00426089" w:rsidRDefault="00426089" w:rsidP="00426089">
      <w:pPr>
        <w:jc w:val="center"/>
      </w:pPr>
    </w:p>
    <w:p w:rsidR="00426089" w:rsidRDefault="00426089" w:rsidP="00426089">
      <w:pPr>
        <w:jc w:val="center"/>
      </w:pPr>
    </w:p>
    <w:p w:rsidR="00426089" w:rsidRDefault="00426089" w:rsidP="00426089">
      <w:pPr>
        <w:ind w:firstLine="709"/>
        <w:jc w:val="both"/>
      </w:pPr>
      <w:r>
        <w:t>Запас (резерв) технических средств системы оповещения населения Златоустовского городского округа предназначен для обеспечения максимально возможного охвата населения в зонах чрезвычайной ситуации и на территориях, не охваченных муниципальной системой оповещения населения.</w:t>
      </w:r>
    </w:p>
    <w:p w:rsidR="00426089" w:rsidRDefault="00426089" w:rsidP="00426089">
      <w:pPr>
        <w:ind w:firstLine="709"/>
        <w:jc w:val="both"/>
      </w:pPr>
      <w:r>
        <w:t>Запас (резерв) технических средств оповещения населения создается муниципальным казенным учреждением «Гражданская защита Златоустовского городского округа» совместно с Администрацией Златоустовского городского округа заблаговременно.</w:t>
      </w:r>
    </w:p>
    <w:p w:rsidR="00426089" w:rsidRDefault="00426089" w:rsidP="00426089">
      <w:pPr>
        <w:ind w:firstLine="709"/>
        <w:jc w:val="both"/>
      </w:pPr>
      <w:r>
        <w:t>Приобретение и восполнение запаса (резерва) технических средств оповещения населения финансируется за счет средств бюджета Златоустовского городского округа.</w:t>
      </w:r>
    </w:p>
    <w:p w:rsidR="00426089" w:rsidRDefault="00426089" w:rsidP="00426089">
      <w:pPr>
        <w:ind w:firstLine="709"/>
        <w:jc w:val="both"/>
      </w:pPr>
      <w:r>
        <w:t>Выдача запаса (резерва) технических средств оповещения населения проводится в связи с их освежением (при достижении установленных сроков хранения) на основании распоряжения Администрации Златоустовского городского округа. Восполняемый объем запаса (резерва) технических средств оповещения населения должен соответствовать израсходованному объему запаса (резерва) технических средств оповещения населения.</w:t>
      </w:r>
    </w:p>
    <w:p w:rsidR="00426089" w:rsidRDefault="00426089" w:rsidP="00426089">
      <w:pPr>
        <w:ind w:firstLine="709"/>
        <w:jc w:val="both"/>
      </w:pPr>
      <w:r>
        <w:t>Хранение запаса (резерва) технических средств оповещения населения осуществляется в соответствии с требованиями эксплуатационно-технической документации конкретного вида запаса (резерва) технических средств оповещения населения.</w:t>
      </w:r>
    </w:p>
    <w:p w:rsidR="00426089" w:rsidRDefault="00426089" w:rsidP="00426089">
      <w:pPr>
        <w:ind w:firstLine="709"/>
        <w:jc w:val="both"/>
      </w:pPr>
    </w:p>
    <w:p w:rsidR="00E05E6F" w:rsidRDefault="00E05E6F" w:rsidP="004574CC"/>
    <w:p w:rsidR="00426089" w:rsidRDefault="00426089" w:rsidP="004574CC"/>
    <w:p w:rsidR="00426089" w:rsidRDefault="00426089" w:rsidP="004574CC">
      <w:pPr>
        <w:sectPr w:rsidR="00426089" w:rsidSect="00426089">
          <w:pgSz w:w="11906" w:h="16838"/>
          <w:pgMar w:top="567" w:right="567" w:bottom="567" w:left="1418" w:header="454" w:footer="397" w:gutter="0"/>
          <w:pgNumType w:start="1"/>
          <w:cols w:space="708"/>
          <w:titlePg/>
          <w:docGrid w:linePitch="381"/>
        </w:sectPr>
      </w:pPr>
    </w:p>
    <w:p w:rsidR="00426089" w:rsidRDefault="00426089" w:rsidP="00426089">
      <w:pPr>
        <w:ind w:left="5103"/>
        <w:jc w:val="center"/>
      </w:pPr>
      <w:r>
        <w:t>ПРИЛОЖЕНИЕ 3</w:t>
      </w:r>
    </w:p>
    <w:p w:rsidR="00426089" w:rsidRDefault="00426089" w:rsidP="00426089">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426089" w:rsidRDefault="00426089" w:rsidP="00426089">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426089" w:rsidRDefault="00426089" w:rsidP="00426089">
      <w:pPr>
        <w:ind w:left="5103"/>
        <w:jc w:val="center"/>
      </w:pPr>
      <w:r>
        <w:t>Златоустовского городского округа</w:t>
      </w:r>
    </w:p>
    <w:p w:rsidR="00426089" w:rsidRDefault="007075AD" w:rsidP="00426089">
      <w:pPr>
        <w:pStyle w:val="ac"/>
        <w:ind w:left="5103"/>
        <w:jc w:val="center"/>
        <w:rPr>
          <w:rFonts w:ascii="Times New Roman" w:hAnsi="Times New Roman" w:cs="Times New Roman"/>
          <w:sz w:val="28"/>
          <w:szCs w:val="28"/>
        </w:rPr>
      </w:pPr>
      <w:r>
        <w:rPr>
          <w:rFonts w:ascii="Times New Roman" w:hAnsi="Times New Roman" w:cs="Times New Roman"/>
          <w:sz w:val="28"/>
          <w:szCs w:val="28"/>
        </w:rPr>
        <w:t>от 22.05.2024 г. № 162-П/</w:t>
      </w:r>
      <w:proofErr w:type="gramStart"/>
      <w:r>
        <w:rPr>
          <w:rFonts w:ascii="Times New Roman" w:hAnsi="Times New Roman" w:cs="Times New Roman"/>
          <w:sz w:val="28"/>
          <w:szCs w:val="28"/>
        </w:rPr>
        <w:t>АДМ</w:t>
      </w:r>
      <w:bookmarkStart w:id="0" w:name="_GoBack"/>
      <w:bookmarkEnd w:id="0"/>
      <w:proofErr w:type="gramEnd"/>
    </w:p>
    <w:p w:rsidR="00426089" w:rsidRDefault="00426089" w:rsidP="00426089">
      <w:pPr>
        <w:tabs>
          <w:tab w:val="left" w:pos="5529"/>
        </w:tabs>
        <w:suppressAutoHyphens/>
        <w:ind w:left="5103"/>
        <w:jc w:val="center"/>
      </w:pPr>
    </w:p>
    <w:p w:rsidR="00426089" w:rsidRDefault="00426089" w:rsidP="004574CC"/>
    <w:p w:rsidR="00426089" w:rsidRDefault="00426089" w:rsidP="00426089">
      <w:pPr>
        <w:jc w:val="center"/>
      </w:pPr>
      <w:r>
        <w:t>Пункты</w:t>
      </w:r>
    </w:p>
    <w:p w:rsidR="00426089" w:rsidRDefault="00426089" w:rsidP="00426089">
      <w:pPr>
        <w:jc w:val="center"/>
      </w:pPr>
      <w:r>
        <w:t xml:space="preserve">хранения резерва технических средств оповещения населения </w:t>
      </w:r>
    </w:p>
    <w:p w:rsidR="00426089" w:rsidRDefault="00426089" w:rsidP="00426089">
      <w:pPr>
        <w:jc w:val="center"/>
      </w:pPr>
      <w:r>
        <w:t>Златоустовского городского округа</w:t>
      </w:r>
    </w:p>
    <w:p w:rsidR="00426089" w:rsidRDefault="00426089" w:rsidP="00426089">
      <w:pPr>
        <w:jc w:val="center"/>
      </w:pPr>
    </w:p>
    <w:tbl>
      <w:tblPr>
        <w:tblW w:w="9781"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1701"/>
        <w:gridCol w:w="3118"/>
        <w:gridCol w:w="2552"/>
      </w:tblGrid>
      <w:tr w:rsidR="00426089" w:rsidRPr="00426089" w:rsidTr="00D47A88">
        <w:tc>
          <w:tcPr>
            <w:tcW w:w="567" w:type="dxa"/>
            <w:tcBorders>
              <w:top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w:t>
            </w:r>
          </w:p>
          <w:p w:rsidR="00426089" w:rsidRPr="00426089" w:rsidRDefault="00426089" w:rsidP="00426089">
            <w:pPr>
              <w:pStyle w:val="ad"/>
              <w:jc w:val="center"/>
              <w:rPr>
                <w:rFonts w:ascii="Times New Roman" w:hAnsi="Times New Roman" w:cs="Times New Roman"/>
                <w:sz w:val="22"/>
                <w:szCs w:val="22"/>
              </w:rPr>
            </w:pPr>
            <w:proofErr w:type="gramStart"/>
            <w:r w:rsidRPr="00426089">
              <w:rPr>
                <w:rFonts w:ascii="Times New Roman" w:hAnsi="Times New Roman" w:cs="Times New Roman"/>
                <w:sz w:val="22"/>
                <w:szCs w:val="22"/>
              </w:rPr>
              <w:t>п</w:t>
            </w:r>
            <w:proofErr w:type="gramEnd"/>
            <w:r w:rsidRPr="00426089">
              <w:rPr>
                <w:rFonts w:ascii="Times New Roman" w:hAnsi="Times New Roman" w:cs="Times New Roman"/>
                <w:sz w:val="22"/>
                <w:szCs w:val="22"/>
              </w:rPr>
              <w:t>/п</w:t>
            </w:r>
          </w:p>
        </w:tc>
        <w:tc>
          <w:tcPr>
            <w:tcW w:w="1843"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Наименование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 xml:space="preserve">Наименование населенного пункта, </w:t>
            </w:r>
            <w:r w:rsidR="003D2049">
              <w:rPr>
                <w:rFonts w:ascii="Times New Roman" w:hAnsi="Times New Roman" w:cs="Times New Roman"/>
                <w:sz w:val="22"/>
                <w:szCs w:val="22"/>
              </w:rPr>
              <w:br/>
            </w:r>
            <w:r w:rsidRPr="00426089">
              <w:rPr>
                <w:rFonts w:ascii="Times New Roman" w:hAnsi="Times New Roman" w:cs="Times New Roman"/>
                <w:sz w:val="22"/>
                <w:szCs w:val="22"/>
              </w:rPr>
              <w:t>где расположен пункт хранения резерва</w:t>
            </w:r>
          </w:p>
        </w:tc>
        <w:tc>
          <w:tcPr>
            <w:tcW w:w="3118" w:type="dxa"/>
            <w:tcBorders>
              <w:top w:val="single" w:sz="4" w:space="0" w:color="auto"/>
              <w:left w:val="single" w:sz="4" w:space="0" w:color="auto"/>
              <w:bottom w:val="single" w:sz="4" w:space="0" w:color="auto"/>
              <w:right w:val="single" w:sz="4" w:space="0" w:color="auto"/>
            </w:tcBorders>
            <w:vAlign w:val="center"/>
          </w:tcPr>
          <w:p w:rsidR="003D204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 xml:space="preserve">Наименование </w:t>
            </w:r>
          </w:p>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организации</w:t>
            </w:r>
          </w:p>
        </w:tc>
        <w:tc>
          <w:tcPr>
            <w:tcW w:w="2552" w:type="dxa"/>
            <w:tcBorders>
              <w:top w:val="single" w:sz="4" w:space="0" w:color="auto"/>
              <w:left w:val="single" w:sz="4" w:space="0" w:color="auto"/>
              <w:bottom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Адрес расположения пункта хранения резерва</w:t>
            </w:r>
          </w:p>
        </w:tc>
      </w:tr>
      <w:tr w:rsidR="00426089" w:rsidRPr="00426089" w:rsidTr="00D47A88">
        <w:tc>
          <w:tcPr>
            <w:tcW w:w="567" w:type="dxa"/>
            <w:tcBorders>
              <w:top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3</w:t>
            </w:r>
          </w:p>
        </w:tc>
        <w:tc>
          <w:tcPr>
            <w:tcW w:w="3118"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4</w:t>
            </w:r>
          </w:p>
        </w:tc>
        <w:tc>
          <w:tcPr>
            <w:tcW w:w="2552" w:type="dxa"/>
            <w:tcBorders>
              <w:top w:val="single" w:sz="4" w:space="0" w:color="auto"/>
              <w:left w:val="single" w:sz="4" w:space="0" w:color="auto"/>
              <w:bottom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5</w:t>
            </w:r>
          </w:p>
        </w:tc>
      </w:tr>
      <w:tr w:rsidR="00426089" w:rsidRPr="00426089" w:rsidTr="00D47A88">
        <w:tc>
          <w:tcPr>
            <w:tcW w:w="567" w:type="dxa"/>
            <w:vMerge w:val="restart"/>
            <w:tcBorders>
              <w:top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1</w:t>
            </w:r>
          </w:p>
        </w:tc>
        <w:tc>
          <w:tcPr>
            <w:tcW w:w="1843" w:type="dxa"/>
            <w:vMerge w:val="restart"/>
            <w:tcBorders>
              <w:top w:val="single" w:sz="4" w:space="0" w:color="auto"/>
              <w:left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Златоустовский городской округ</w:t>
            </w:r>
          </w:p>
        </w:tc>
        <w:tc>
          <w:tcPr>
            <w:tcW w:w="1701" w:type="dxa"/>
            <w:vMerge w:val="restart"/>
            <w:tcBorders>
              <w:top w:val="single" w:sz="4" w:space="0" w:color="auto"/>
              <w:left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город Златоуст</w:t>
            </w:r>
          </w:p>
        </w:tc>
        <w:tc>
          <w:tcPr>
            <w:tcW w:w="3118"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Pr>
                <w:rFonts w:ascii="Times New Roman" w:hAnsi="Times New Roman" w:cs="Times New Roman"/>
                <w:sz w:val="22"/>
                <w:szCs w:val="22"/>
              </w:rPr>
              <w:t>МКУ «</w:t>
            </w:r>
            <w:r w:rsidRPr="00426089">
              <w:rPr>
                <w:rFonts w:ascii="Times New Roman" w:hAnsi="Times New Roman" w:cs="Times New Roman"/>
                <w:sz w:val="22"/>
                <w:szCs w:val="22"/>
              </w:rPr>
              <w:t>Гражданская защита Златоустовского городского округа</w:t>
            </w:r>
            <w:r>
              <w:rPr>
                <w:rFonts w:ascii="Times New Roman" w:hAnsi="Times New Roman" w:cs="Times New Roman"/>
                <w:sz w:val="22"/>
                <w:szCs w:val="22"/>
              </w:rPr>
              <w:t>»</w:t>
            </w:r>
          </w:p>
        </w:tc>
        <w:tc>
          <w:tcPr>
            <w:tcW w:w="2552" w:type="dxa"/>
            <w:tcBorders>
              <w:top w:val="single" w:sz="4" w:space="0" w:color="auto"/>
              <w:left w:val="single" w:sz="4" w:space="0" w:color="auto"/>
              <w:bottom w:val="single" w:sz="4" w:space="0" w:color="auto"/>
            </w:tcBorders>
            <w:vAlign w:val="center"/>
          </w:tcPr>
          <w:p w:rsidR="00426089" w:rsidRPr="00D47A88" w:rsidRDefault="00D47A88" w:rsidP="00D47A88">
            <w:pPr>
              <w:pStyle w:val="ad"/>
              <w:jc w:val="center"/>
              <w:rPr>
                <w:rFonts w:ascii="Times New Roman" w:hAnsi="Times New Roman" w:cs="Times New Roman"/>
                <w:sz w:val="22"/>
                <w:szCs w:val="22"/>
              </w:rPr>
            </w:pPr>
            <w:r>
              <w:rPr>
                <w:rFonts w:ascii="Times New Roman" w:hAnsi="Times New Roman" w:cs="Times New Roman"/>
                <w:sz w:val="22"/>
                <w:szCs w:val="22"/>
              </w:rPr>
              <w:t>п</w:t>
            </w:r>
            <w:r w:rsidR="00426089" w:rsidRPr="00D47A88">
              <w:rPr>
                <w:rFonts w:ascii="Times New Roman" w:hAnsi="Times New Roman" w:cs="Times New Roman"/>
                <w:sz w:val="22"/>
                <w:szCs w:val="22"/>
              </w:rPr>
              <w:t xml:space="preserve">лощадь </w:t>
            </w:r>
            <w:r w:rsidRPr="00D47A88">
              <w:rPr>
                <w:rFonts w:ascii="Times New Roman" w:hAnsi="Times New Roman" w:cs="Times New Roman"/>
                <w:sz w:val="22"/>
                <w:szCs w:val="22"/>
              </w:rPr>
              <w:br/>
            </w:r>
            <w:r>
              <w:rPr>
                <w:rFonts w:ascii="Times New Roman" w:eastAsia="MS Mincho" w:hAnsi="Times New Roman" w:cs="Times New Roman"/>
                <w:sz w:val="22"/>
                <w:szCs w:val="22"/>
                <w:lang w:val="en-US"/>
              </w:rPr>
              <w:t>III</w:t>
            </w:r>
            <w:r w:rsidRPr="00D47A88">
              <w:rPr>
                <w:rFonts w:ascii="Times New Roman" w:eastAsia="MS Mincho" w:hAnsi="Times New Roman" w:cs="Times New Roman"/>
                <w:sz w:val="22"/>
                <w:szCs w:val="22"/>
              </w:rPr>
              <w:t>-го</w:t>
            </w:r>
            <w:r w:rsidR="00426089" w:rsidRPr="00D47A88">
              <w:rPr>
                <w:rFonts w:ascii="Times New Roman" w:hAnsi="Times New Roman" w:cs="Times New Roman"/>
                <w:sz w:val="22"/>
                <w:szCs w:val="22"/>
              </w:rPr>
              <w:t xml:space="preserve"> Интернационала, д. 13, пом. 4</w:t>
            </w:r>
          </w:p>
        </w:tc>
      </w:tr>
      <w:tr w:rsidR="00426089" w:rsidRPr="00426089" w:rsidTr="00D47A88">
        <w:tc>
          <w:tcPr>
            <w:tcW w:w="567" w:type="dxa"/>
            <w:vMerge/>
            <w:tcBorders>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D47A88">
            <w:pPr>
              <w:pStyle w:val="ad"/>
              <w:jc w:val="center"/>
              <w:rPr>
                <w:rFonts w:ascii="Times New Roman" w:hAnsi="Times New Roman" w:cs="Times New Roman"/>
                <w:sz w:val="22"/>
                <w:szCs w:val="22"/>
              </w:rPr>
            </w:pPr>
            <w:r w:rsidRPr="00426089">
              <w:rPr>
                <w:rFonts w:ascii="Times New Roman" w:hAnsi="Times New Roman" w:cs="Times New Roman"/>
                <w:sz w:val="22"/>
                <w:szCs w:val="22"/>
              </w:rPr>
              <w:t>1 ПСО ФПС ГПС ГУ МЧС</w:t>
            </w:r>
            <w:r>
              <w:rPr>
                <w:rFonts w:ascii="Times New Roman" w:hAnsi="Times New Roman" w:cs="Times New Roman"/>
                <w:sz w:val="22"/>
                <w:szCs w:val="22"/>
              </w:rPr>
              <w:t xml:space="preserve"> </w:t>
            </w:r>
            <w:r w:rsidR="00D47A88">
              <w:rPr>
                <w:rFonts w:ascii="Times New Roman" w:hAnsi="Times New Roman" w:cs="Times New Roman"/>
                <w:sz w:val="22"/>
                <w:szCs w:val="22"/>
              </w:rPr>
              <w:t>Российской Федерации</w:t>
            </w:r>
            <w:r w:rsidRPr="00426089">
              <w:rPr>
                <w:rFonts w:ascii="Times New Roman" w:hAnsi="Times New Roman" w:cs="Times New Roman"/>
                <w:sz w:val="22"/>
                <w:szCs w:val="22"/>
              </w:rPr>
              <w:t xml:space="preserve"> </w:t>
            </w:r>
            <w:r w:rsidR="00D47A88">
              <w:rPr>
                <w:rFonts w:ascii="Times New Roman" w:hAnsi="Times New Roman" w:cs="Times New Roman"/>
                <w:sz w:val="22"/>
                <w:szCs w:val="22"/>
              </w:rPr>
              <w:br/>
            </w:r>
            <w:r w:rsidRPr="00426089">
              <w:rPr>
                <w:rFonts w:ascii="Times New Roman" w:hAnsi="Times New Roman" w:cs="Times New Roman"/>
                <w:sz w:val="22"/>
                <w:szCs w:val="22"/>
              </w:rPr>
              <w:t>по Челябинской</w:t>
            </w:r>
            <w:r w:rsidR="00D47A88">
              <w:rPr>
                <w:rFonts w:ascii="Times New Roman" w:hAnsi="Times New Roman" w:cs="Times New Roman"/>
                <w:sz w:val="22"/>
                <w:szCs w:val="22"/>
              </w:rPr>
              <w:t xml:space="preserve"> </w:t>
            </w:r>
            <w:r w:rsidRPr="00426089">
              <w:rPr>
                <w:rFonts w:ascii="Times New Roman" w:hAnsi="Times New Roman" w:cs="Times New Roman"/>
                <w:sz w:val="22"/>
                <w:szCs w:val="22"/>
              </w:rPr>
              <w:t>области</w:t>
            </w:r>
          </w:p>
        </w:tc>
        <w:tc>
          <w:tcPr>
            <w:tcW w:w="2552" w:type="dxa"/>
            <w:tcBorders>
              <w:top w:val="single" w:sz="4" w:space="0" w:color="auto"/>
              <w:left w:val="single" w:sz="4" w:space="0" w:color="auto"/>
              <w:bottom w:val="single" w:sz="4" w:space="0" w:color="auto"/>
            </w:tcBorders>
            <w:vAlign w:val="center"/>
          </w:tcPr>
          <w:p w:rsidR="00426089" w:rsidRPr="00D47A88" w:rsidRDefault="00426089" w:rsidP="00426089">
            <w:pPr>
              <w:pStyle w:val="ad"/>
              <w:jc w:val="center"/>
              <w:rPr>
                <w:rFonts w:ascii="Times New Roman" w:hAnsi="Times New Roman" w:cs="Times New Roman"/>
                <w:sz w:val="22"/>
                <w:szCs w:val="22"/>
              </w:rPr>
            </w:pPr>
            <w:r w:rsidRPr="00D47A88">
              <w:rPr>
                <w:rFonts w:ascii="Times New Roman" w:hAnsi="Times New Roman" w:cs="Times New Roman"/>
                <w:sz w:val="22"/>
                <w:szCs w:val="22"/>
              </w:rPr>
              <w:t>ул. Северная, д. 27</w:t>
            </w:r>
          </w:p>
        </w:tc>
      </w:tr>
      <w:tr w:rsidR="00426089" w:rsidRPr="00426089" w:rsidTr="00D47A88">
        <w:tc>
          <w:tcPr>
            <w:tcW w:w="567" w:type="dxa"/>
            <w:vMerge/>
            <w:tcBorders>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426089" w:rsidRPr="00426089" w:rsidRDefault="00426089" w:rsidP="00426089">
            <w:pPr>
              <w:pStyle w:val="ad"/>
              <w:jc w:val="center"/>
              <w:rPr>
                <w:rFonts w:ascii="Times New Roman" w:hAnsi="Times New Roman" w:cs="Times New Roman"/>
                <w:sz w:val="22"/>
                <w:szCs w:val="22"/>
              </w:rPr>
            </w:pPr>
            <w:r w:rsidRPr="00426089">
              <w:rPr>
                <w:rFonts w:ascii="Times New Roman" w:hAnsi="Times New Roman" w:cs="Times New Roman"/>
                <w:sz w:val="22"/>
                <w:szCs w:val="22"/>
              </w:rPr>
              <w:t>Отдел МВД России по Златоустовскому городскому округу ГУ МВД России по Челябинской области</w:t>
            </w:r>
          </w:p>
        </w:tc>
        <w:tc>
          <w:tcPr>
            <w:tcW w:w="2552" w:type="dxa"/>
            <w:tcBorders>
              <w:top w:val="single" w:sz="4" w:space="0" w:color="auto"/>
              <w:left w:val="single" w:sz="4" w:space="0" w:color="auto"/>
              <w:bottom w:val="single" w:sz="4" w:space="0" w:color="auto"/>
            </w:tcBorders>
            <w:vAlign w:val="center"/>
          </w:tcPr>
          <w:p w:rsidR="00426089" w:rsidRPr="00D47A88" w:rsidRDefault="00426089" w:rsidP="00D47A88">
            <w:pPr>
              <w:pStyle w:val="ad"/>
              <w:jc w:val="center"/>
              <w:rPr>
                <w:rFonts w:ascii="Times New Roman" w:hAnsi="Times New Roman" w:cs="Times New Roman"/>
                <w:sz w:val="22"/>
                <w:szCs w:val="22"/>
              </w:rPr>
            </w:pPr>
            <w:r w:rsidRPr="00D47A88">
              <w:rPr>
                <w:rFonts w:ascii="Times New Roman" w:hAnsi="Times New Roman" w:cs="Times New Roman"/>
                <w:sz w:val="22"/>
                <w:szCs w:val="22"/>
              </w:rPr>
              <w:t xml:space="preserve">пр-т им. Ю.А. Гагарина, </w:t>
            </w:r>
            <w:r w:rsidR="00D47A88">
              <w:rPr>
                <w:rFonts w:ascii="Times New Roman" w:hAnsi="Times New Roman" w:cs="Times New Roman"/>
                <w:sz w:val="22"/>
                <w:szCs w:val="22"/>
              </w:rPr>
              <w:br/>
            </w:r>
            <w:r w:rsidRPr="00D47A88">
              <w:rPr>
                <w:rFonts w:ascii="Times New Roman" w:hAnsi="Times New Roman" w:cs="Times New Roman"/>
                <w:sz w:val="22"/>
                <w:szCs w:val="22"/>
              </w:rPr>
              <w:t>1 линия, д. 23</w:t>
            </w:r>
          </w:p>
        </w:tc>
      </w:tr>
    </w:tbl>
    <w:p w:rsidR="00426089" w:rsidRDefault="00426089" w:rsidP="00426089">
      <w:pPr>
        <w:jc w:val="center"/>
      </w:pPr>
    </w:p>
    <w:sectPr w:rsidR="00426089" w:rsidSect="00426089">
      <w:pgSz w:w="11906" w:h="16838"/>
      <w:pgMar w:top="567" w:right="567" w:bottom="567" w:left="1418" w:header="454" w:footer="39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78" w:rsidRDefault="00A22F78">
      <w:r>
        <w:separator/>
      </w:r>
    </w:p>
  </w:endnote>
  <w:endnote w:type="continuationSeparator" w:id="0">
    <w:p w:rsidR="00A22F78" w:rsidRDefault="00A2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89" w:rsidRPr="00FF7009" w:rsidRDefault="00426089" w:rsidP="00E26238">
    <w:pPr>
      <w:pStyle w:val="a7"/>
      <w:jc w:val="right"/>
      <w:rPr>
        <w:sz w:val="20"/>
        <w:szCs w:val="20"/>
        <w:lang w:val="en-US"/>
      </w:rPr>
    </w:pPr>
    <w:r>
      <w:rPr>
        <w:sz w:val="20"/>
        <w:szCs w:val="20"/>
      </w:rPr>
      <w:t>Вр-365055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89" w:rsidRPr="00C9340B" w:rsidRDefault="00426089" w:rsidP="00E26238">
    <w:pPr>
      <w:pStyle w:val="a7"/>
      <w:jc w:val="right"/>
      <w:rPr>
        <w:sz w:val="20"/>
        <w:szCs w:val="20"/>
      </w:rPr>
    </w:pPr>
    <w:r>
      <w:rPr>
        <w:sz w:val="20"/>
        <w:szCs w:val="20"/>
      </w:rPr>
      <w:t>Вр-365055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78" w:rsidRDefault="00A22F78">
      <w:r>
        <w:separator/>
      </w:r>
    </w:p>
  </w:footnote>
  <w:footnote w:type="continuationSeparator" w:id="0">
    <w:p w:rsidR="00A22F78" w:rsidRDefault="00A22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89" w:rsidRPr="00FF7009" w:rsidRDefault="00426089" w:rsidP="00FF7009">
    <w:pPr>
      <w:pStyle w:val="a5"/>
      <w:jc w:val="center"/>
      <w:rPr>
        <w:lang w:val="en-US"/>
      </w:rPr>
    </w:pPr>
    <w:r>
      <w:fldChar w:fldCharType="begin"/>
    </w:r>
    <w:r>
      <w:instrText xml:space="preserve"> PAGE   \* MERGEFORMAT </w:instrText>
    </w:r>
    <w:r>
      <w:fldChar w:fldCharType="separate"/>
    </w:r>
    <w:r w:rsidR="007075AD">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89" w:rsidRPr="00E045E8" w:rsidRDefault="00426089"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D2049"/>
    <w:rsid w:val="003E30CF"/>
    <w:rsid w:val="003F2713"/>
    <w:rsid w:val="00406295"/>
    <w:rsid w:val="004122F1"/>
    <w:rsid w:val="004140E6"/>
    <w:rsid w:val="00425AA9"/>
    <w:rsid w:val="0042608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4F2A8C"/>
    <w:rsid w:val="00506A57"/>
    <w:rsid w:val="00513E4F"/>
    <w:rsid w:val="0052371C"/>
    <w:rsid w:val="00527A5C"/>
    <w:rsid w:val="00562567"/>
    <w:rsid w:val="0056766F"/>
    <w:rsid w:val="0057186F"/>
    <w:rsid w:val="00587709"/>
    <w:rsid w:val="005D4367"/>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07FA"/>
    <w:rsid w:val="006C1107"/>
    <w:rsid w:val="006D180A"/>
    <w:rsid w:val="006D447B"/>
    <w:rsid w:val="006D5FED"/>
    <w:rsid w:val="006F54F4"/>
    <w:rsid w:val="00702791"/>
    <w:rsid w:val="00705CC3"/>
    <w:rsid w:val="007075AD"/>
    <w:rsid w:val="00713081"/>
    <w:rsid w:val="00717977"/>
    <w:rsid w:val="00721E76"/>
    <w:rsid w:val="007307DD"/>
    <w:rsid w:val="00765B23"/>
    <w:rsid w:val="00772510"/>
    <w:rsid w:val="007856A4"/>
    <w:rsid w:val="00790B33"/>
    <w:rsid w:val="007A692C"/>
    <w:rsid w:val="007A7C68"/>
    <w:rsid w:val="007B06C8"/>
    <w:rsid w:val="007C3F3F"/>
    <w:rsid w:val="007C5489"/>
    <w:rsid w:val="007C6B6A"/>
    <w:rsid w:val="007C7191"/>
    <w:rsid w:val="007D5BE3"/>
    <w:rsid w:val="007F6F0C"/>
    <w:rsid w:val="00803DE9"/>
    <w:rsid w:val="00806DCB"/>
    <w:rsid w:val="00816D2A"/>
    <w:rsid w:val="00822B31"/>
    <w:rsid w:val="00826EB0"/>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22F78"/>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66D3C"/>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A88"/>
    <w:rsid w:val="00D47CBD"/>
    <w:rsid w:val="00D52C54"/>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5E6F"/>
    <w:rsid w:val="00E07736"/>
    <w:rsid w:val="00E16222"/>
    <w:rsid w:val="00E20771"/>
    <w:rsid w:val="00E26238"/>
    <w:rsid w:val="00E278FA"/>
    <w:rsid w:val="00E30F71"/>
    <w:rsid w:val="00E335AA"/>
    <w:rsid w:val="00E34893"/>
    <w:rsid w:val="00E4076D"/>
    <w:rsid w:val="00E601A5"/>
    <w:rsid w:val="00E6233F"/>
    <w:rsid w:val="00E6286D"/>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601A5"/>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426089"/>
    <w:pPr>
      <w:widowControl w:val="0"/>
      <w:autoSpaceDE w:val="0"/>
      <w:autoSpaceDN w:val="0"/>
      <w:adjustRightInd w:val="0"/>
      <w:jc w:val="both"/>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601A5"/>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426089"/>
    <w:pPr>
      <w:widowControl w:val="0"/>
      <w:autoSpaceDE w:val="0"/>
      <w:autoSpaceDN w:val="0"/>
      <w:adjustRightInd w:val="0"/>
      <w:jc w:val="both"/>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ternet.garant.ru/document/redirect/709808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6189</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Лаврентьева Татьяна Вячеславовна</cp:lastModifiedBy>
  <cp:revision>2</cp:revision>
  <cp:lastPrinted>2010-08-02T08:59:00Z</cp:lastPrinted>
  <dcterms:created xsi:type="dcterms:W3CDTF">2024-05-22T10:37:00Z</dcterms:created>
  <dcterms:modified xsi:type="dcterms:W3CDTF">2024-05-22T10:37:00Z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