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A45F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42721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3"/>
        <w:gridCol w:w="723"/>
        <w:gridCol w:w="1517"/>
        <w:gridCol w:w="421"/>
        <w:gridCol w:w="4166"/>
        <w:gridCol w:w="421"/>
      </w:tblGrid>
      <w:tr w:rsidR="009416DA" w:rsidRPr="00E335AA" w:rsidTr="005D14C1">
        <w:trPr>
          <w:gridAfter w:val="1"/>
          <w:wAfter w:w="421" w:type="dxa"/>
          <w:trHeight w:val="446"/>
        </w:trPr>
        <w:tc>
          <w:tcPr>
            <w:tcW w:w="1592" w:type="dxa"/>
            <w:tcBorders>
              <w:bottom w:val="single" w:sz="4" w:space="0" w:color="auto"/>
            </w:tcBorders>
          </w:tcPr>
          <w:p w:rsidR="009416DA" w:rsidRPr="009416DA" w:rsidRDefault="006A45F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6A45F7" w:rsidP="00E4076D">
            <w:fldSimple w:instr=" DOCPROPERTY  Рег.№  \* MERGEFORMAT ">
              <w:r w:rsidR="009416DA" w:rsidRPr="009416DA">
                <w:t>46-П/АДМ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D14C1">
        <w:trPr>
          <w:gridAfter w:val="1"/>
          <w:wAfter w:w="421" w:type="dxa"/>
          <w:trHeight w:val="446"/>
        </w:trPr>
        <w:tc>
          <w:tcPr>
            <w:tcW w:w="3832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5D14C1">
        <w:trPr>
          <w:trHeight w:val="446"/>
        </w:trPr>
        <w:tc>
          <w:tcPr>
            <w:tcW w:w="4253" w:type="dxa"/>
            <w:gridSpan w:val="4"/>
            <w:tcMar>
              <w:left w:w="0" w:type="dxa"/>
            </w:tcMar>
          </w:tcPr>
          <w:p w:rsidR="00D96BA1" w:rsidRDefault="00D96BA1" w:rsidP="005D14C1">
            <w:pPr>
              <w:jc w:val="both"/>
            </w:pPr>
            <w:r>
              <w:t xml:space="preserve">О подготовке и реализации </w:t>
            </w:r>
            <w:r w:rsidR="005D14C1">
              <w:br/>
            </w:r>
            <w:r>
              <w:t xml:space="preserve">бюджетных инвестиций </w:t>
            </w:r>
            <w:r w:rsidR="005D14C1">
              <w:br/>
            </w:r>
            <w:r>
              <w:t xml:space="preserve">на приобретение в муниципальную собственность Златоустовского городского округа </w:t>
            </w:r>
            <w:r w:rsidR="005D14C1">
              <w:t>объектов недвижимого имущества -</w:t>
            </w:r>
            <w:r>
              <w:t xml:space="preserve"> жилых помещений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D14C1" w:rsidRDefault="005D14C1" w:rsidP="009416DA">
      <w:pPr>
        <w:widowControl w:val="0"/>
        <w:ind w:firstLine="709"/>
        <w:jc w:val="both"/>
      </w:pPr>
    </w:p>
    <w:p w:rsidR="009416DA" w:rsidRPr="00E4076D" w:rsidRDefault="005D14C1" w:rsidP="009416DA">
      <w:pPr>
        <w:widowControl w:val="0"/>
        <w:ind w:firstLine="709"/>
        <w:jc w:val="both"/>
      </w:pPr>
      <w:r w:rsidRPr="005D14C1">
        <w:t xml:space="preserve">В соответствии со статьей 79 Бюджетного кодекса Российской </w:t>
      </w:r>
      <w:r w:rsidR="002E36CC">
        <w:t>Федерации, Федеральным законом «</w:t>
      </w:r>
      <w:r w:rsidRPr="005D14C1">
        <w:t>Об общих принципах организации местного самоуп</w:t>
      </w:r>
      <w:r w:rsidR="002E36CC">
        <w:t>равления в Российской Федерации»</w:t>
      </w:r>
      <w:r w:rsidRPr="005D14C1">
        <w:t>, Законом Челябинской области от 25.10.2007</w:t>
      </w:r>
      <w:r w:rsidR="002E36CC">
        <w:t> г. № </w:t>
      </w:r>
      <w:r w:rsidRPr="005D14C1">
        <w:t xml:space="preserve">212-ЗО «О мерах социальной поддержки </w:t>
      </w:r>
      <w:r w:rsidR="002E36CC">
        <w:br/>
      </w:r>
      <w:r w:rsidRPr="005D14C1">
        <w:t>детей-сирот и детей, оставшихся без попечения родителей, вознаграждении, причитающемся приемному родителю,  и социаль</w:t>
      </w:r>
      <w:r w:rsidR="002E36CC">
        <w:t>ных гарантиях приемной семье», р</w:t>
      </w:r>
      <w:r w:rsidRPr="005D14C1">
        <w:t>ешением Собрания депутатов Златоустовского городского округа Челяби</w:t>
      </w:r>
      <w:r w:rsidR="002E36CC">
        <w:t>нской области от 11 ноября 2014 г. № 50-ЗГО «</w:t>
      </w:r>
      <w:r w:rsidRPr="005D14C1">
        <w:t xml:space="preserve">Об утверждении Положения о порядке обеспечения детей-сирот и детей, оставшихся </w:t>
      </w:r>
      <w:r w:rsidR="002E36CC">
        <w:br/>
      </w:r>
      <w:r w:rsidRPr="005D14C1">
        <w:t>без попечения родителей, а также лиц из их числа, а также лиц, которые относились к категории детей-сирот и детей, оставшихся без попечения родителей, лиц из их числа идостигли возраста 23 лет жилыми помещениями по договору найма специализированного жилого помещения на территории Зл</w:t>
      </w:r>
      <w:r w:rsidR="002E36CC">
        <w:t>атоустовского городского округа» (с изменениями от 01.11.2023 </w:t>
      </w:r>
      <w:r w:rsidRPr="005D14C1">
        <w:t xml:space="preserve">г.), постановлением администрации Златоустовского городского округа </w:t>
      </w:r>
      <w:r w:rsidR="00632532">
        <w:br/>
      </w:r>
      <w:r w:rsidRPr="005D14C1">
        <w:t>от  07.07.2015</w:t>
      </w:r>
      <w:r w:rsidR="002E36CC">
        <w:t> г. № 249-П</w:t>
      </w:r>
      <w:r w:rsidRPr="005D14C1">
        <w:t xml:space="preserve"> «Об утверждении Порядка принятия решений </w:t>
      </w:r>
      <w:r w:rsidR="002E36CC">
        <w:br/>
      </w:r>
      <w:r w:rsidRPr="005D14C1">
        <w:t>о подготовке и реализации бюджетных инвестиций в объекты муниципальной собственности Златоустовского городского округа и осуществления бюджетных инвестиций в объекты муниципальной собственности Зл</w:t>
      </w:r>
      <w:r w:rsidR="002E36CC">
        <w:t>атоустовского городского округа»</w:t>
      </w:r>
      <w:r w:rsidRPr="005D14C1">
        <w:t>, в целях приобретения в муниципальную собственность Златоустовского городского округа</w:t>
      </w:r>
      <w:r w:rsidR="002E36CC">
        <w:t xml:space="preserve"> объектов недвижимого имущества - </w:t>
      </w:r>
      <w:r w:rsidRPr="005D14C1">
        <w:t xml:space="preserve">жилых помещений для детей-сирот и детей, оставшихся </w:t>
      </w:r>
      <w:r w:rsidR="002E36CC">
        <w:br/>
      </w:r>
      <w:r w:rsidRPr="005D14C1">
        <w:t>без попечения родителей, а так же лиц из их числа,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D14C1" w:rsidRDefault="002E36CC" w:rsidP="005D14C1">
      <w:pPr>
        <w:widowControl w:val="0"/>
        <w:ind w:firstLine="709"/>
        <w:jc w:val="both"/>
      </w:pPr>
      <w:r>
        <w:t>1. </w:t>
      </w:r>
      <w:r w:rsidR="005D14C1">
        <w:t>Органу местного самоуправления «Комитет по управлению имуществом Злат</w:t>
      </w:r>
      <w:r>
        <w:t xml:space="preserve">оустовского городского округа» </w:t>
      </w:r>
      <w:r w:rsidR="005D14C1">
        <w:t>(Турова Е.В.):</w:t>
      </w:r>
    </w:p>
    <w:p w:rsidR="005D14C1" w:rsidRDefault="002E36CC" w:rsidP="005D14C1">
      <w:pPr>
        <w:widowControl w:val="0"/>
        <w:ind w:firstLine="709"/>
        <w:jc w:val="both"/>
      </w:pPr>
      <w:r>
        <w:lastRenderedPageBreak/>
        <w:t>1) </w:t>
      </w:r>
      <w:r w:rsidR="005D14C1">
        <w:t xml:space="preserve">осуществить приобретение объектов недвижимого имущества - жилых помещений для детей-сирот и детей, оставшихся без попечения родителей, </w:t>
      </w:r>
      <w:r>
        <w:br/>
      </w:r>
      <w:r w:rsidR="005D14C1">
        <w:t xml:space="preserve">а так же лиц из их числа в соответствии с Федеральным законом </w:t>
      </w:r>
      <w:r>
        <w:br/>
      </w:r>
      <w:r w:rsidR="005D14C1">
        <w:t>от 05.04.2013</w:t>
      </w:r>
      <w:r>
        <w:t> </w:t>
      </w:r>
      <w:r w:rsidR="005D14C1">
        <w:t>г. № 44-ФЗ «О контрактной системе в сфере закупок товаров, работ, услуг для обеспечения государственных и муниципальных нужд» (приложение);</w:t>
      </w:r>
    </w:p>
    <w:p w:rsidR="005D14C1" w:rsidRDefault="002E36CC" w:rsidP="002E36CC">
      <w:pPr>
        <w:widowControl w:val="0"/>
        <w:ind w:firstLine="709"/>
        <w:jc w:val="both"/>
      </w:pPr>
      <w:r>
        <w:t>2) </w:t>
      </w:r>
      <w:r w:rsidR="005D14C1">
        <w:t xml:space="preserve">предоставить муниципальные контракты на приобретение объектов недвижимого имущества - жилых помещений и соответствующих документов </w:t>
      </w:r>
      <w:r>
        <w:br/>
      </w:r>
      <w:r w:rsidR="005D14C1">
        <w:t>в Управление Росреестра по Челябинской области с целью государственной регистрации права муниципальной собственности;</w:t>
      </w:r>
    </w:p>
    <w:p w:rsidR="005D14C1" w:rsidRDefault="002E36CC" w:rsidP="005D14C1">
      <w:pPr>
        <w:widowControl w:val="0"/>
        <w:ind w:firstLine="709"/>
        <w:jc w:val="both"/>
      </w:pPr>
      <w:r>
        <w:t>3) </w:t>
      </w:r>
      <w:r w:rsidR="005D14C1">
        <w:t>внести объекты недвижимого имущества - жилые помещения в реестр муниципальной собственности Златоустовского городского округа.</w:t>
      </w:r>
    </w:p>
    <w:p w:rsidR="005D14C1" w:rsidRDefault="002E36CC" w:rsidP="005D14C1">
      <w:pPr>
        <w:widowControl w:val="0"/>
        <w:ind w:firstLine="709"/>
        <w:jc w:val="both"/>
      </w:pPr>
      <w:r>
        <w:t>2. </w:t>
      </w:r>
      <w:r w:rsidR="005D14C1">
        <w:t>Пресс-службе администрации Зла</w:t>
      </w:r>
      <w:r>
        <w:t xml:space="preserve">тоустовского городского округа </w:t>
      </w:r>
      <w:r w:rsidR="005D14C1">
        <w:t>(Валова И.А.) разместить настоящее постановление на официальном сайте Златоустовского городского округа в сети «Интернет».</w:t>
      </w:r>
    </w:p>
    <w:p w:rsidR="005D14C1" w:rsidRDefault="002E36CC" w:rsidP="005D14C1">
      <w:pPr>
        <w:widowControl w:val="0"/>
        <w:ind w:firstLine="709"/>
        <w:jc w:val="both"/>
      </w:pPr>
      <w:r>
        <w:t>3. </w:t>
      </w:r>
      <w:r w:rsidR="005D14C1">
        <w:t xml:space="preserve">Постановление администрации Златоустовского городского округа </w:t>
      </w:r>
      <w:r>
        <w:br/>
      </w:r>
      <w:r w:rsidR="005D14C1">
        <w:t>от 06.12.2023</w:t>
      </w:r>
      <w:r>
        <w:t> г. № 461-П/АДМ</w:t>
      </w:r>
      <w:r w:rsidR="005D14C1">
        <w:t xml:space="preserve"> «О подготовке и реализации бюджетных инвестиций на приобретение в муниципальную собственность Златоустовского городского округа </w:t>
      </w:r>
      <w:r>
        <w:t>объектов недвижимого имущества -</w:t>
      </w:r>
      <w:r w:rsidR="005D14C1">
        <w:t xml:space="preserve"> жилых помещений» признать утратившим силу.</w:t>
      </w:r>
    </w:p>
    <w:p w:rsidR="005D14C1" w:rsidRDefault="00090BBF" w:rsidP="005D14C1">
      <w:pPr>
        <w:widowControl w:val="0"/>
        <w:ind w:firstLine="709"/>
        <w:jc w:val="both"/>
      </w:pPr>
      <w:r>
        <w:t>4</w:t>
      </w:r>
      <w:r w:rsidR="002E36CC">
        <w:t>. </w:t>
      </w:r>
      <w:r w:rsidR="005D14C1">
        <w:t xml:space="preserve">Организацию выполнения настоящего </w:t>
      </w:r>
      <w:r w:rsidR="002E36CC" w:rsidRPr="002E36CC">
        <w:t>постановления</w:t>
      </w:r>
      <w:r w:rsidR="005D14C1">
        <w:t xml:space="preserve"> возложить </w:t>
      </w:r>
      <w:r w:rsidR="002E36CC">
        <w:br/>
        <w:t>на руководителя о</w:t>
      </w:r>
      <w:r w:rsidR="005D14C1">
        <w:t>ргана местного самоуправления «Комитет по управлению имуществом Златоуст</w:t>
      </w:r>
      <w:r w:rsidR="002E36CC">
        <w:t>овского городского округа» Турову Е.В.</w:t>
      </w:r>
    </w:p>
    <w:p w:rsidR="009416DA" w:rsidRDefault="00090BBF" w:rsidP="005D14C1">
      <w:pPr>
        <w:widowControl w:val="0"/>
        <w:ind w:firstLine="709"/>
        <w:jc w:val="both"/>
      </w:pPr>
      <w:r>
        <w:t>5</w:t>
      </w:r>
      <w:r w:rsidR="002E36CC">
        <w:t>. </w:t>
      </w:r>
      <w:r w:rsidR="005D14C1">
        <w:t xml:space="preserve">Контроль за выполнением настоящего </w:t>
      </w:r>
      <w:r w:rsidR="002E36CC" w:rsidRPr="002E36CC">
        <w:t>постановления</w:t>
      </w:r>
      <w:r w:rsidR="005D14C1">
        <w:t xml:space="preserve"> оставляю </w:t>
      </w:r>
      <w:r w:rsidR="002E36CC">
        <w:br/>
      </w:r>
      <w:r w:rsidR="005D14C1">
        <w:t>за собой.</w:t>
      </w:r>
    </w:p>
    <w:p w:rsidR="00090BBF" w:rsidRDefault="00090BBF" w:rsidP="005D14C1">
      <w:pPr>
        <w:widowControl w:val="0"/>
        <w:ind w:firstLine="709"/>
        <w:jc w:val="both"/>
      </w:pPr>
      <w:r>
        <w:t>6. </w:t>
      </w:r>
      <w:r w:rsidRPr="00090BBF">
        <w:t>Срок действия настоящего постановления установить до 31.12.2025 г. включительно.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D14C1">
        <w:trPr>
          <w:trHeight w:val="1570"/>
        </w:trPr>
        <w:tc>
          <w:tcPr>
            <w:tcW w:w="4253" w:type="dxa"/>
            <w:vAlign w:val="bottom"/>
          </w:tcPr>
          <w:p w:rsidR="005D14C1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380AB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380AB8">
            <w:pPr>
              <w:jc w:val="right"/>
            </w:pPr>
            <w:r>
              <w:t>А.А. Дьячков</w:t>
            </w:r>
          </w:p>
        </w:tc>
      </w:tr>
    </w:tbl>
    <w:p w:rsidR="005D14C1" w:rsidRDefault="005D14C1" w:rsidP="004574CC"/>
    <w:p w:rsidR="005D14C1" w:rsidRDefault="005D14C1">
      <w:r>
        <w:br w:type="page"/>
      </w:r>
    </w:p>
    <w:p w:rsidR="005D14C1" w:rsidRPr="005D14C1" w:rsidRDefault="005D14C1" w:rsidP="005D14C1">
      <w:pPr>
        <w:ind w:left="5103"/>
        <w:jc w:val="center"/>
      </w:pPr>
      <w:r w:rsidRPr="005D14C1">
        <w:lastRenderedPageBreak/>
        <w:t>ПРИЛОЖЕНИЕ</w:t>
      </w:r>
    </w:p>
    <w:p w:rsidR="005D14C1" w:rsidRPr="005D14C1" w:rsidRDefault="005D14C1" w:rsidP="005D14C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D14C1">
        <w:rPr>
          <w:lang w:eastAsia="ar-SA"/>
        </w:rPr>
        <w:t>Утверждено</w:t>
      </w:r>
    </w:p>
    <w:p w:rsidR="005D14C1" w:rsidRPr="005D14C1" w:rsidRDefault="005D14C1" w:rsidP="005D14C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D14C1">
        <w:rPr>
          <w:lang w:eastAsia="ar-SA"/>
        </w:rPr>
        <w:t>постановлением администрации</w:t>
      </w:r>
    </w:p>
    <w:p w:rsidR="005D14C1" w:rsidRPr="005D14C1" w:rsidRDefault="005D14C1" w:rsidP="005D14C1">
      <w:pPr>
        <w:ind w:left="5103"/>
        <w:jc w:val="center"/>
      </w:pPr>
      <w:r w:rsidRPr="005D14C1">
        <w:t>Златоустовского городского округа</w:t>
      </w:r>
    </w:p>
    <w:p w:rsidR="005D14C1" w:rsidRPr="005D14C1" w:rsidRDefault="005D14C1" w:rsidP="005D14C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D14C1">
        <w:rPr>
          <w:lang w:eastAsia="ar-SA"/>
        </w:rPr>
        <w:t xml:space="preserve">от </w:t>
      </w:r>
      <w:r w:rsidR="00C87066">
        <w:rPr>
          <w:lang w:eastAsia="ar-SA"/>
        </w:rPr>
        <w:t>06.02.2025 г.</w:t>
      </w:r>
      <w:r w:rsidRPr="005D14C1">
        <w:rPr>
          <w:lang w:eastAsia="ar-SA"/>
        </w:rPr>
        <w:t xml:space="preserve"> № </w:t>
      </w:r>
      <w:r w:rsidR="00C87066">
        <w:rPr>
          <w:lang w:eastAsia="ar-SA"/>
        </w:rPr>
        <w:t>46-П/АДМ</w:t>
      </w:r>
      <w:bookmarkStart w:id="0" w:name="_GoBack"/>
      <w:bookmarkEnd w:id="0"/>
    </w:p>
    <w:p w:rsidR="005D14C1" w:rsidRPr="005D14C1" w:rsidRDefault="005D14C1" w:rsidP="005D14C1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5D14C1" w:rsidRDefault="005D14C1" w:rsidP="005D14C1">
      <w:pPr>
        <w:jc w:val="center"/>
      </w:pPr>
      <w:r>
        <w:t>Информация</w:t>
      </w:r>
    </w:p>
    <w:p w:rsidR="005D14C1" w:rsidRDefault="005D14C1" w:rsidP="005D14C1">
      <w:pPr>
        <w:jc w:val="center"/>
      </w:pPr>
      <w:r>
        <w:t xml:space="preserve">в отношении </w:t>
      </w:r>
      <w:r w:rsidR="00380AB8">
        <w:t>объектов недвижимого имущества -</w:t>
      </w:r>
      <w:r>
        <w:t xml:space="preserve"> жилых помещений</w:t>
      </w:r>
    </w:p>
    <w:p w:rsidR="005D14C1" w:rsidRDefault="005D14C1" w:rsidP="005D14C1">
      <w:pPr>
        <w:jc w:val="center"/>
      </w:pPr>
    </w:p>
    <w:tbl>
      <w:tblPr>
        <w:tblpPr w:leftFromText="180" w:rightFromText="180" w:vertAnchor="text" w:horzAnchor="margin" w:tblpXSpec="center" w:tblpY="184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900"/>
        <w:gridCol w:w="4347"/>
      </w:tblGrid>
      <w:tr w:rsidR="005D14C1" w:rsidRPr="005D14C1" w:rsidTr="00380AB8">
        <w:tc>
          <w:tcPr>
            <w:tcW w:w="392" w:type="dxa"/>
          </w:tcPr>
          <w:p w:rsidR="005D14C1" w:rsidRPr="005D14C1" w:rsidRDefault="005D14C1" w:rsidP="005D14C1">
            <w:pPr>
              <w:jc w:val="both"/>
            </w:pPr>
          </w:p>
        </w:tc>
        <w:tc>
          <w:tcPr>
            <w:tcW w:w="4961" w:type="dxa"/>
          </w:tcPr>
          <w:p w:rsidR="005D14C1" w:rsidRPr="005D14C1" w:rsidRDefault="005D14C1" w:rsidP="00380AB8">
            <w:pPr>
              <w:jc w:val="center"/>
            </w:pPr>
            <w:r w:rsidRPr="005D14C1">
              <w:t>Наименование</w:t>
            </w:r>
          </w:p>
        </w:tc>
        <w:tc>
          <w:tcPr>
            <w:tcW w:w="4394" w:type="dxa"/>
          </w:tcPr>
          <w:p w:rsidR="005D14C1" w:rsidRPr="005D14C1" w:rsidRDefault="005D14C1" w:rsidP="00380AB8">
            <w:pPr>
              <w:jc w:val="center"/>
            </w:pPr>
            <w:r w:rsidRPr="005D14C1">
              <w:t>Содержание</w:t>
            </w:r>
          </w:p>
        </w:tc>
      </w:tr>
      <w:tr w:rsidR="005D14C1" w:rsidRPr="005D14C1" w:rsidTr="00380AB8">
        <w:tc>
          <w:tcPr>
            <w:tcW w:w="392" w:type="dxa"/>
          </w:tcPr>
          <w:p w:rsidR="005D14C1" w:rsidRPr="005D14C1" w:rsidRDefault="005D14C1" w:rsidP="00380AB8">
            <w:pPr>
              <w:jc w:val="center"/>
            </w:pPr>
            <w:r w:rsidRPr="005D14C1">
              <w:t>1</w:t>
            </w:r>
          </w:p>
        </w:tc>
        <w:tc>
          <w:tcPr>
            <w:tcW w:w="4961" w:type="dxa"/>
          </w:tcPr>
          <w:p w:rsidR="005D14C1" w:rsidRPr="005D14C1" w:rsidRDefault="005D14C1" w:rsidP="00380AB8">
            <w:pPr>
              <w:jc w:val="center"/>
            </w:pPr>
            <w:r w:rsidRPr="005D14C1">
              <w:t>Наименование объектов недвижимого имущества</w:t>
            </w:r>
          </w:p>
        </w:tc>
        <w:tc>
          <w:tcPr>
            <w:tcW w:w="4394" w:type="dxa"/>
          </w:tcPr>
          <w:p w:rsidR="005D14C1" w:rsidRPr="005D14C1" w:rsidRDefault="005D14C1" w:rsidP="00380AB8">
            <w:pPr>
              <w:jc w:val="center"/>
            </w:pPr>
            <w:r w:rsidRPr="005D14C1">
              <w:t xml:space="preserve">12 жилых помещений (благоустроенных однокомнатных квартир) </w:t>
            </w:r>
            <w:r w:rsidR="007C2E9A">
              <w:br/>
            </w:r>
            <w:r w:rsidRPr="005D14C1">
              <w:t xml:space="preserve">для детей-сирот и детей, оставшихся без попечения родителей, а также лиц </w:t>
            </w:r>
            <w:r w:rsidR="007C2E9A">
              <w:br/>
            </w:r>
            <w:r w:rsidRPr="005D14C1">
              <w:t>из их числа</w:t>
            </w:r>
          </w:p>
        </w:tc>
      </w:tr>
      <w:tr w:rsidR="005D14C1" w:rsidRPr="005D14C1" w:rsidTr="00380AB8">
        <w:tc>
          <w:tcPr>
            <w:tcW w:w="392" w:type="dxa"/>
          </w:tcPr>
          <w:p w:rsidR="005D14C1" w:rsidRPr="005D14C1" w:rsidRDefault="005D14C1" w:rsidP="00380AB8">
            <w:pPr>
              <w:jc w:val="center"/>
            </w:pPr>
            <w:r w:rsidRPr="005D14C1">
              <w:t>2</w:t>
            </w:r>
          </w:p>
        </w:tc>
        <w:tc>
          <w:tcPr>
            <w:tcW w:w="4961" w:type="dxa"/>
          </w:tcPr>
          <w:p w:rsidR="005D14C1" w:rsidRPr="005D14C1" w:rsidRDefault="005D14C1" w:rsidP="00380AB8">
            <w:pPr>
              <w:jc w:val="center"/>
            </w:pPr>
            <w:r w:rsidRPr="005D14C1">
              <w:t>Направление инвестирования</w:t>
            </w:r>
          </w:p>
        </w:tc>
        <w:tc>
          <w:tcPr>
            <w:tcW w:w="4394" w:type="dxa"/>
          </w:tcPr>
          <w:p w:rsidR="005D14C1" w:rsidRPr="005D14C1" w:rsidRDefault="005D14C1" w:rsidP="00380AB8">
            <w:pPr>
              <w:jc w:val="center"/>
            </w:pPr>
            <w:r w:rsidRPr="005D14C1">
              <w:t>Приобретение жилых помещений (благоустроенных однокомнатных квартир)</w:t>
            </w:r>
          </w:p>
        </w:tc>
      </w:tr>
      <w:tr w:rsidR="005D14C1" w:rsidRPr="005D14C1" w:rsidTr="00380AB8">
        <w:tc>
          <w:tcPr>
            <w:tcW w:w="392" w:type="dxa"/>
          </w:tcPr>
          <w:p w:rsidR="005D14C1" w:rsidRPr="005D14C1" w:rsidRDefault="005D14C1" w:rsidP="00380AB8">
            <w:pPr>
              <w:jc w:val="center"/>
            </w:pPr>
            <w:r w:rsidRPr="005D14C1">
              <w:t>3</w:t>
            </w:r>
          </w:p>
        </w:tc>
        <w:tc>
          <w:tcPr>
            <w:tcW w:w="4961" w:type="dxa"/>
          </w:tcPr>
          <w:p w:rsidR="005D14C1" w:rsidRPr="005D14C1" w:rsidRDefault="005D14C1" w:rsidP="00380AB8">
            <w:pPr>
              <w:jc w:val="center"/>
            </w:pPr>
            <w:r w:rsidRPr="005D14C1">
              <w:t>Наименование главного распорядителя</w:t>
            </w:r>
          </w:p>
        </w:tc>
        <w:tc>
          <w:tcPr>
            <w:tcW w:w="4394" w:type="dxa"/>
          </w:tcPr>
          <w:p w:rsidR="005D14C1" w:rsidRPr="005D14C1" w:rsidRDefault="005D14C1" w:rsidP="00380AB8">
            <w:pPr>
              <w:jc w:val="center"/>
            </w:pPr>
            <w:r w:rsidRPr="005D14C1">
              <w:t>Орган местного самоуправления «Комитет по управлению имуществом Златоустовского городского округа»</w:t>
            </w:r>
          </w:p>
        </w:tc>
      </w:tr>
      <w:tr w:rsidR="005D14C1" w:rsidRPr="005D14C1" w:rsidTr="00380AB8">
        <w:tc>
          <w:tcPr>
            <w:tcW w:w="392" w:type="dxa"/>
          </w:tcPr>
          <w:p w:rsidR="005D14C1" w:rsidRPr="005D14C1" w:rsidRDefault="005D14C1" w:rsidP="00380AB8">
            <w:pPr>
              <w:jc w:val="center"/>
            </w:pPr>
            <w:r w:rsidRPr="005D14C1">
              <w:t>4</w:t>
            </w:r>
          </w:p>
        </w:tc>
        <w:tc>
          <w:tcPr>
            <w:tcW w:w="4961" w:type="dxa"/>
          </w:tcPr>
          <w:p w:rsidR="005D14C1" w:rsidRPr="005D14C1" w:rsidRDefault="005D14C1" w:rsidP="00380AB8">
            <w:pPr>
              <w:jc w:val="center"/>
            </w:pPr>
            <w:r w:rsidRPr="005D14C1">
              <w:t>Мощность объектов недвижимого имущества</w:t>
            </w:r>
          </w:p>
        </w:tc>
        <w:tc>
          <w:tcPr>
            <w:tcW w:w="4394" w:type="dxa"/>
          </w:tcPr>
          <w:p w:rsidR="005D14C1" w:rsidRPr="005D14C1" w:rsidRDefault="005D14C1" w:rsidP="00380AB8">
            <w:pPr>
              <w:jc w:val="center"/>
            </w:pPr>
            <w:r w:rsidRPr="005D14C1">
              <w:t xml:space="preserve">12 благоустроенных однокомнатных квартир, </w:t>
            </w:r>
            <w:r w:rsidRPr="005D14C1">
              <w:br/>
              <w:t xml:space="preserve">общей площадью не менее </w:t>
            </w:r>
            <w:r w:rsidRPr="005D14C1">
              <w:br/>
              <w:t>369,0 квадратных метров</w:t>
            </w:r>
          </w:p>
        </w:tc>
      </w:tr>
      <w:tr w:rsidR="005D14C1" w:rsidRPr="005D14C1" w:rsidTr="00380AB8">
        <w:tc>
          <w:tcPr>
            <w:tcW w:w="392" w:type="dxa"/>
          </w:tcPr>
          <w:p w:rsidR="005D14C1" w:rsidRPr="005D14C1" w:rsidRDefault="005D14C1" w:rsidP="00380AB8">
            <w:pPr>
              <w:jc w:val="center"/>
            </w:pPr>
            <w:r w:rsidRPr="005D14C1">
              <w:t>5</w:t>
            </w:r>
          </w:p>
        </w:tc>
        <w:tc>
          <w:tcPr>
            <w:tcW w:w="4961" w:type="dxa"/>
          </w:tcPr>
          <w:p w:rsidR="005D14C1" w:rsidRPr="005D14C1" w:rsidRDefault="005D14C1" w:rsidP="00380AB8">
            <w:pPr>
              <w:jc w:val="center"/>
            </w:pPr>
            <w:r w:rsidRPr="005D14C1">
              <w:t>Срок приобретения объектов недвижимого имущества</w:t>
            </w:r>
          </w:p>
        </w:tc>
        <w:tc>
          <w:tcPr>
            <w:tcW w:w="4394" w:type="dxa"/>
          </w:tcPr>
          <w:p w:rsidR="005D14C1" w:rsidRPr="005D14C1" w:rsidRDefault="007C2E9A" w:rsidP="007C2E9A">
            <w:pPr>
              <w:jc w:val="center"/>
            </w:pPr>
            <w:r>
              <w:t>2025 год -</w:t>
            </w:r>
            <w:r w:rsidR="005D14C1" w:rsidRPr="005D14C1">
              <w:t xml:space="preserve"> 12 жилых помещений</w:t>
            </w:r>
          </w:p>
        </w:tc>
      </w:tr>
      <w:tr w:rsidR="005D14C1" w:rsidRPr="005D14C1" w:rsidTr="00380AB8">
        <w:tc>
          <w:tcPr>
            <w:tcW w:w="392" w:type="dxa"/>
          </w:tcPr>
          <w:p w:rsidR="005D14C1" w:rsidRPr="005D14C1" w:rsidRDefault="005D14C1" w:rsidP="00380AB8">
            <w:pPr>
              <w:jc w:val="center"/>
            </w:pPr>
            <w:r w:rsidRPr="005D14C1">
              <w:t>6</w:t>
            </w:r>
          </w:p>
        </w:tc>
        <w:tc>
          <w:tcPr>
            <w:tcW w:w="4961" w:type="dxa"/>
          </w:tcPr>
          <w:p w:rsidR="005D14C1" w:rsidRPr="005D14C1" w:rsidRDefault="005D14C1" w:rsidP="00380AB8">
            <w:pPr>
              <w:jc w:val="center"/>
            </w:pPr>
            <w:r w:rsidRPr="005D14C1">
              <w:t>Стоимость приобретения объектов недвижимого имущества</w:t>
            </w:r>
          </w:p>
        </w:tc>
        <w:tc>
          <w:tcPr>
            <w:tcW w:w="4394" w:type="dxa"/>
          </w:tcPr>
          <w:p w:rsidR="005D14C1" w:rsidRPr="005D14C1" w:rsidRDefault="005D14C1" w:rsidP="00380AB8">
            <w:pPr>
              <w:jc w:val="center"/>
            </w:pPr>
            <w:r w:rsidRPr="005D14C1">
              <w:t>27075,2 тысяч рублей</w:t>
            </w:r>
          </w:p>
        </w:tc>
      </w:tr>
      <w:tr w:rsidR="005D14C1" w:rsidRPr="005D14C1" w:rsidTr="00380AB8">
        <w:tc>
          <w:tcPr>
            <w:tcW w:w="392" w:type="dxa"/>
          </w:tcPr>
          <w:p w:rsidR="005D14C1" w:rsidRPr="005D14C1" w:rsidRDefault="005D14C1" w:rsidP="00380AB8">
            <w:pPr>
              <w:jc w:val="center"/>
            </w:pPr>
            <w:r w:rsidRPr="005D14C1">
              <w:t>7</w:t>
            </w:r>
          </w:p>
        </w:tc>
        <w:tc>
          <w:tcPr>
            <w:tcW w:w="4961" w:type="dxa"/>
          </w:tcPr>
          <w:p w:rsidR="005D14C1" w:rsidRPr="005D14C1" w:rsidRDefault="005D14C1" w:rsidP="00380AB8">
            <w:pPr>
              <w:jc w:val="center"/>
            </w:pPr>
            <w:r w:rsidRPr="005D14C1">
              <w:t>Распределение (по годам реализации инвестиционного проекта) стоимости приобретения объекта недвижимого имущества</w:t>
            </w:r>
          </w:p>
        </w:tc>
        <w:tc>
          <w:tcPr>
            <w:tcW w:w="4394" w:type="dxa"/>
          </w:tcPr>
          <w:p w:rsidR="005D14C1" w:rsidRPr="005D14C1" w:rsidRDefault="005D14C1" w:rsidP="007C2E9A">
            <w:pPr>
              <w:jc w:val="center"/>
            </w:pPr>
            <w:r w:rsidRPr="005D14C1">
              <w:t>2025 год</w:t>
            </w:r>
            <w:r w:rsidR="007C2E9A">
              <w:t xml:space="preserve"> - </w:t>
            </w:r>
            <w:r w:rsidRPr="005D14C1">
              <w:t>27075,2 тысяч рублей</w:t>
            </w:r>
          </w:p>
        </w:tc>
      </w:tr>
      <w:tr w:rsidR="005D14C1" w:rsidRPr="005D14C1" w:rsidTr="00380AB8">
        <w:tc>
          <w:tcPr>
            <w:tcW w:w="392" w:type="dxa"/>
          </w:tcPr>
          <w:p w:rsidR="005D14C1" w:rsidRPr="005D14C1" w:rsidRDefault="005D14C1" w:rsidP="00380AB8">
            <w:pPr>
              <w:jc w:val="center"/>
            </w:pPr>
            <w:r w:rsidRPr="005D14C1">
              <w:t>8</w:t>
            </w:r>
          </w:p>
        </w:tc>
        <w:tc>
          <w:tcPr>
            <w:tcW w:w="4961" w:type="dxa"/>
          </w:tcPr>
          <w:p w:rsidR="005D14C1" w:rsidRPr="005D14C1" w:rsidRDefault="005D14C1" w:rsidP="00380AB8">
            <w:pPr>
              <w:jc w:val="center"/>
            </w:pPr>
            <w:r w:rsidRPr="005D14C1">
              <w:t>Общий (предельный) объем бюджетных инвестиций</w:t>
            </w:r>
          </w:p>
        </w:tc>
        <w:tc>
          <w:tcPr>
            <w:tcW w:w="4394" w:type="dxa"/>
          </w:tcPr>
          <w:p w:rsidR="005D14C1" w:rsidRPr="005D14C1" w:rsidRDefault="005D14C1" w:rsidP="00380AB8">
            <w:pPr>
              <w:jc w:val="center"/>
            </w:pPr>
            <w:r w:rsidRPr="005D14C1">
              <w:t>27075,2 тысяч рублей</w:t>
            </w:r>
          </w:p>
        </w:tc>
      </w:tr>
      <w:tr w:rsidR="005D14C1" w:rsidRPr="005D14C1" w:rsidTr="00380AB8">
        <w:tc>
          <w:tcPr>
            <w:tcW w:w="392" w:type="dxa"/>
          </w:tcPr>
          <w:p w:rsidR="005D14C1" w:rsidRPr="005D14C1" w:rsidRDefault="005D14C1" w:rsidP="00380AB8">
            <w:pPr>
              <w:jc w:val="center"/>
            </w:pPr>
            <w:r w:rsidRPr="005D14C1">
              <w:t>9</w:t>
            </w:r>
          </w:p>
        </w:tc>
        <w:tc>
          <w:tcPr>
            <w:tcW w:w="4961" w:type="dxa"/>
          </w:tcPr>
          <w:p w:rsidR="005D14C1" w:rsidRPr="005D14C1" w:rsidRDefault="005D14C1" w:rsidP="00380AB8">
            <w:pPr>
              <w:jc w:val="center"/>
            </w:pPr>
            <w:r w:rsidRPr="005D14C1">
              <w:t xml:space="preserve">Распределение </w:t>
            </w:r>
            <w:r w:rsidR="008B00FF">
              <w:br/>
            </w:r>
            <w:r w:rsidRPr="005D14C1">
              <w:t>(по годам инвестиционного проекта) общего (предельного) объема бюджетных инвестиций, рассчитанного в ценах соответствующих лет реализации инвестиционного проекта</w:t>
            </w:r>
          </w:p>
        </w:tc>
        <w:tc>
          <w:tcPr>
            <w:tcW w:w="4394" w:type="dxa"/>
          </w:tcPr>
          <w:p w:rsidR="005D14C1" w:rsidRPr="005D14C1" w:rsidRDefault="005D14C1" w:rsidP="00380AB8">
            <w:pPr>
              <w:jc w:val="center"/>
            </w:pPr>
            <w:r w:rsidRPr="005D14C1">
              <w:t>2025 год</w:t>
            </w:r>
            <w:r w:rsidR="007C2E9A">
              <w:t xml:space="preserve"> - </w:t>
            </w:r>
            <w:r w:rsidRPr="005D14C1">
              <w:t>27075,2 тысяч рублей</w:t>
            </w:r>
          </w:p>
        </w:tc>
      </w:tr>
    </w:tbl>
    <w:p w:rsidR="005D14C1" w:rsidRPr="00E335AA" w:rsidRDefault="005D14C1" w:rsidP="005D14C1">
      <w:pPr>
        <w:jc w:val="both"/>
      </w:pPr>
    </w:p>
    <w:sectPr w:rsidR="005D14C1" w:rsidRPr="00E335AA" w:rsidSect="002E36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EC3" w:rsidRDefault="00EB0EC3">
      <w:r>
        <w:separator/>
      </w:r>
    </w:p>
  </w:endnote>
  <w:endnote w:type="continuationSeparator" w:id="1">
    <w:p w:rsidR="00EB0EC3" w:rsidRDefault="00EB0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B8" w:rsidRPr="00FF7009" w:rsidRDefault="00380AB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Вр-397145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B8" w:rsidRPr="00C9340B" w:rsidRDefault="00380AB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Вр-397145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EC3" w:rsidRDefault="00EB0EC3">
      <w:r>
        <w:separator/>
      </w:r>
    </w:p>
  </w:footnote>
  <w:footnote w:type="continuationSeparator" w:id="1">
    <w:p w:rsidR="00EB0EC3" w:rsidRDefault="00EB0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B8" w:rsidRPr="00FF7009" w:rsidRDefault="006A45F7" w:rsidP="00FF7009">
    <w:pPr>
      <w:pStyle w:val="a5"/>
      <w:jc w:val="center"/>
      <w:rPr>
        <w:lang w:val="en-US"/>
      </w:rPr>
    </w:pPr>
    <w:r>
      <w:fldChar w:fldCharType="begin"/>
    </w:r>
    <w:r w:rsidR="00380AB8">
      <w:instrText xml:space="preserve"> PAGE   \* MERGEFORMAT </w:instrText>
    </w:r>
    <w:r>
      <w:fldChar w:fldCharType="separate"/>
    </w:r>
    <w:r w:rsidR="003139D5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B8" w:rsidRPr="00E045E8" w:rsidRDefault="00380AB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0BBF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36CC"/>
    <w:rsid w:val="00304C55"/>
    <w:rsid w:val="00312884"/>
    <w:rsid w:val="003139D5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0AB8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4DE4"/>
    <w:rsid w:val="00562567"/>
    <w:rsid w:val="0056766F"/>
    <w:rsid w:val="0057186F"/>
    <w:rsid w:val="00587709"/>
    <w:rsid w:val="005D14C1"/>
    <w:rsid w:val="00600481"/>
    <w:rsid w:val="006049CB"/>
    <w:rsid w:val="00610324"/>
    <w:rsid w:val="00610D41"/>
    <w:rsid w:val="00611367"/>
    <w:rsid w:val="00616E34"/>
    <w:rsid w:val="00621AA5"/>
    <w:rsid w:val="00632532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A45F7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2E9A"/>
    <w:rsid w:val="007C5489"/>
    <w:rsid w:val="007C6B6A"/>
    <w:rsid w:val="007C7191"/>
    <w:rsid w:val="007D5BE3"/>
    <w:rsid w:val="007F6F0C"/>
    <w:rsid w:val="00803DE9"/>
    <w:rsid w:val="00806DCB"/>
    <w:rsid w:val="008121C3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00FF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87066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0EC3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2025-02-07T04:54:00Z</dcterms:created>
  <dcterms:modified xsi:type="dcterms:W3CDTF">2025-02-07T04:54:00Z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