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F1437" w:rsidRDefault="00E70EC8">
      <w:pPr>
        <w:pStyle w:val="1"/>
        <w:rPr>
          <w:color w:val="auto"/>
        </w:rPr>
      </w:pPr>
      <w:r w:rsidRPr="000F143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F1437">
        <w:rPr>
          <w:rStyle w:val="a4"/>
          <w:b w:val="0"/>
          <w:bCs w:val="0"/>
          <w:color w:val="auto"/>
        </w:rPr>
        <w:t>круга от 27 марта 2006 г. N 66-п "Об утверждении порядка формирования адресной инвестиционной программы Златоустовского городского округа" (с изменениями и дополнениями)</w:t>
      </w:r>
    </w:p>
    <w:p w:rsidR="00000000" w:rsidRPr="000F1437" w:rsidRDefault="00E70EC8"/>
    <w:p w:rsidR="00000000" w:rsidRPr="000F1437" w:rsidRDefault="00E70EC8">
      <w:r w:rsidRPr="000F1437">
        <w:t>В соответствии с решением Собрания депутатов N 4 от 26.02.2006 г. "Об утверждении Положения об инвестиционной деятельности ЗГО", в целях эффективного использования средств бюджета округа, предусмотренных на капитальное строительство, постановляю:</w:t>
      </w:r>
    </w:p>
    <w:p w:rsidR="00000000" w:rsidRPr="000F1437" w:rsidRDefault="00E70EC8">
      <w:bookmarkStart w:id="0" w:name="sub_1001"/>
      <w:r w:rsidRPr="000F1437">
        <w:t>1</w:t>
      </w:r>
      <w:r w:rsidRPr="000F1437">
        <w:t xml:space="preserve">. Утвердить прилагаемый </w:t>
      </w:r>
      <w:r w:rsidRPr="000F1437">
        <w:rPr>
          <w:rStyle w:val="a4"/>
          <w:color w:val="auto"/>
        </w:rPr>
        <w:t>Порядок</w:t>
      </w:r>
      <w:r w:rsidRPr="000F1437">
        <w:t xml:space="preserve"> формирования адресной инвестиционной программы Златоустовского городского округа (приложение).</w:t>
      </w:r>
    </w:p>
    <w:p w:rsidR="00000000" w:rsidRPr="000F1437" w:rsidRDefault="00E70EC8">
      <w:bookmarkStart w:id="1" w:name="sub_1002"/>
      <w:bookmarkEnd w:id="0"/>
      <w:r w:rsidRPr="000F1437">
        <w:t>2. Организацию выполнения настоящего постановления возложить на заместителя главы Златоуст</w:t>
      </w:r>
      <w:r w:rsidRPr="000F1437">
        <w:t xml:space="preserve">овского городского округа по строительству Белкина А.С. и заместителя главы Златоустовского городского округа по бюджетно-финансовым вопросам </w:t>
      </w:r>
      <w:proofErr w:type="spellStart"/>
      <w:r w:rsidRPr="000F1437">
        <w:t>Удиванова</w:t>
      </w:r>
      <w:proofErr w:type="spellEnd"/>
      <w:r w:rsidRPr="000F1437">
        <w:t xml:space="preserve"> А.В., в части их касающейся.</w:t>
      </w:r>
    </w:p>
    <w:bookmarkEnd w:id="1"/>
    <w:p w:rsidR="00000000" w:rsidRPr="000F1437" w:rsidRDefault="00E70EC8"/>
    <w:p w:rsidR="00000000" w:rsidRPr="000F1437" w:rsidRDefault="00E70EC8">
      <w:pPr>
        <w:ind w:firstLine="698"/>
        <w:jc w:val="right"/>
      </w:pPr>
      <w:r w:rsidRPr="000F1437">
        <w:t xml:space="preserve">Д.П. </w:t>
      </w:r>
      <w:proofErr w:type="spellStart"/>
      <w:r w:rsidRPr="000F1437">
        <w:t>Мигашкин</w:t>
      </w:r>
      <w:proofErr w:type="spellEnd"/>
    </w:p>
    <w:p w:rsidR="00000000" w:rsidRPr="000F1437" w:rsidRDefault="00E70EC8"/>
    <w:p w:rsidR="00000000" w:rsidRPr="000F1437" w:rsidRDefault="00E70EC8">
      <w:pPr>
        <w:ind w:firstLine="0"/>
        <w:jc w:val="right"/>
      </w:pPr>
      <w:bookmarkStart w:id="2" w:name="sub_1"/>
      <w:r w:rsidRPr="000F1437">
        <w:rPr>
          <w:rStyle w:val="a3"/>
          <w:color w:val="auto"/>
        </w:rPr>
        <w:t>Приложение</w:t>
      </w:r>
    </w:p>
    <w:bookmarkEnd w:id="2"/>
    <w:p w:rsidR="00000000" w:rsidRPr="000F1437" w:rsidRDefault="00E70EC8">
      <w:pPr>
        <w:ind w:firstLine="0"/>
        <w:jc w:val="right"/>
      </w:pPr>
      <w:r w:rsidRPr="000F1437">
        <w:rPr>
          <w:rStyle w:val="a3"/>
          <w:color w:val="auto"/>
        </w:rPr>
        <w:t xml:space="preserve">к </w:t>
      </w:r>
      <w:r w:rsidRPr="000F1437">
        <w:rPr>
          <w:rStyle w:val="a4"/>
          <w:color w:val="auto"/>
        </w:rPr>
        <w:t>постанов</w:t>
      </w:r>
      <w:r w:rsidRPr="000F1437">
        <w:rPr>
          <w:rStyle w:val="a4"/>
          <w:color w:val="auto"/>
        </w:rPr>
        <w:t>лению</w:t>
      </w:r>
      <w:r w:rsidRPr="000F1437">
        <w:rPr>
          <w:rStyle w:val="a3"/>
          <w:color w:val="auto"/>
        </w:rPr>
        <w:t xml:space="preserve"> главы</w:t>
      </w:r>
    </w:p>
    <w:p w:rsidR="00000000" w:rsidRPr="000F1437" w:rsidRDefault="00E70EC8">
      <w:pPr>
        <w:ind w:firstLine="0"/>
        <w:jc w:val="right"/>
      </w:pPr>
      <w:r w:rsidRPr="000F1437">
        <w:rPr>
          <w:rStyle w:val="a3"/>
          <w:color w:val="auto"/>
        </w:rPr>
        <w:t>Златоустовского городского округа</w:t>
      </w:r>
    </w:p>
    <w:p w:rsidR="00000000" w:rsidRPr="000F1437" w:rsidRDefault="00E70EC8">
      <w:pPr>
        <w:ind w:firstLine="0"/>
        <w:jc w:val="right"/>
      </w:pPr>
      <w:r w:rsidRPr="000F1437">
        <w:rPr>
          <w:rStyle w:val="a3"/>
          <w:color w:val="auto"/>
        </w:rPr>
        <w:t>от 27 марта 2006 г. N 66-п</w:t>
      </w:r>
    </w:p>
    <w:p w:rsidR="00000000" w:rsidRPr="000F1437" w:rsidRDefault="00E70EC8"/>
    <w:p w:rsidR="00000000" w:rsidRPr="000F1437" w:rsidRDefault="00E70EC8">
      <w:pPr>
        <w:pStyle w:val="1"/>
        <w:rPr>
          <w:color w:val="auto"/>
        </w:rPr>
      </w:pPr>
      <w:r w:rsidRPr="000F1437">
        <w:rPr>
          <w:color w:val="auto"/>
        </w:rPr>
        <w:t>Положение</w:t>
      </w:r>
      <w:r w:rsidRPr="000F1437">
        <w:rPr>
          <w:color w:val="auto"/>
        </w:rPr>
        <w:br/>
        <w:t>о порядке формирования адресной инвестиционной программы Златоустовского городского округа</w:t>
      </w:r>
    </w:p>
    <w:p w:rsidR="00000000" w:rsidRPr="000F1437" w:rsidRDefault="00E70EC8"/>
    <w:p w:rsidR="00000000" w:rsidRPr="000F1437" w:rsidRDefault="00E70EC8">
      <w:pPr>
        <w:pStyle w:val="1"/>
        <w:rPr>
          <w:color w:val="auto"/>
        </w:rPr>
      </w:pPr>
      <w:bookmarkStart w:id="3" w:name="sub_10100"/>
      <w:r w:rsidRPr="000F1437">
        <w:rPr>
          <w:color w:val="auto"/>
        </w:rPr>
        <w:t>1. Общие положен</w:t>
      </w:r>
      <w:r w:rsidRPr="000F1437">
        <w:rPr>
          <w:color w:val="auto"/>
        </w:rPr>
        <w:t>ия</w:t>
      </w:r>
    </w:p>
    <w:bookmarkEnd w:id="3"/>
    <w:p w:rsidR="00000000" w:rsidRPr="000F1437" w:rsidRDefault="00E70EC8"/>
    <w:p w:rsidR="00000000" w:rsidRPr="000F1437" w:rsidRDefault="00E70EC8">
      <w:bookmarkStart w:id="4" w:name="sub_1010"/>
      <w:r w:rsidRPr="000F1437">
        <w:t>1. Настоящее Положение о формировании адресной инвестиционной программы Златоустовского городского округа (далее именуется - округ) устанавливает порядок формирования перечня строек и объектов для нужд округа производственного и непрои</w:t>
      </w:r>
      <w:r w:rsidRPr="000F1437">
        <w:t>зводственного назначения, финансирование которых осуществляется за счет средств, предусмотренных на капитальные вложения в местном бюджете на соответствующий финансовый год.</w:t>
      </w:r>
    </w:p>
    <w:p w:rsidR="00000000" w:rsidRPr="000F1437" w:rsidRDefault="00E70EC8">
      <w:bookmarkStart w:id="5" w:name="sub_1020"/>
      <w:bookmarkEnd w:id="4"/>
      <w:r w:rsidRPr="000F1437">
        <w:t>2. Перечень строек и объектов для нужд округа (далее именуется - П</w:t>
      </w:r>
      <w:r w:rsidRPr="000F1437">
        <w:t>еречень) формируется заместителем главы округа по строительству, управлением архитектуры и градостроительства администрации округа совместно с муниципальным учреждением "Управление капитального строительства", исходя из прогнозируемых объемов капитальных в</w:t>
      </w:r>
      <w:r w:rsidRPr="000F1437">
        <w:t>ложений на очередной финансовый год.</w:t>
      </w:r>
    </w:p>
    <w:p w:rsidR="00000000" w:rsidRPr="000F1437" w:rsidRDefault="00E70EC8">
      <w:bookmarkStart w:id="6" w:name="sub_1030"/>
      <w:bookmarkEnd w:id="5"/>
      <w:r w:rsidRPr="000F1437">
        <w:t>3. Заказчиком (заказчиком-застройщиком) строек и объектов, включаемых в Перечень, относящихся к муниципальной собственности, является организация, уполномоченная главой округа, имеющая право в соответств</w:t>
      </w:r>
      <w:r w:rsidRPr="000F1437">
        <w:t>ии с законодательством Российской Федерации выполнять данные функции (далее именуется - заказчик).</w:t>
      </w:r>
    </w:p>
    <w:bookmarkEnd w:id="6"/>
    <w:p w:rsidR="00000000" w:rsidRPr="000F1437" w:rsidRDefault="00E70EC8"/>
    <w:p w:rsidR="00000000" w:rsidRPr="000F1437" w:rsidRDefault="00E70EC8">
      <w:pPr>
        <w:pStyle w:val="1"/>
        <w:rPr>
          <w:color w:val="auto"/>
        </w:rPr>
      </w:pPr>
      <w:bookmarkStart w:id="7" w:name="sub_10200"/>
      <w:r w:rsidRPr="000F1437">
        <w:rPr>
          <w:color w:val="auto"/>
        </w:rPr>
        <w:t>2. Формирование перечня строек и объектов для нужд городского округа</w:t>
      </w:r>
    </w:p>
    <w:bookmarkEnd w:id="7"/>
    <w:p w:rsidR="00000000" w:rsidRPr="000F1437" w:rsidRDefault="00E70EC8"/>
    <w:p w:rsidR="00000000" w:rsidRPr="000F1437" w:rsidRDefault="00E70EC8">
      <w:bookmarkStart w:id="8" w:name="sub_1040"/>
      <w:r w:rsidRPr="000F1437">
        <w:t>4. В приоритетном порядке в Перечень включаются:</w:t>
      </w:r>
    </w:p>
    <w:bookmarkEnd w:id="8"/>
    <w:p w:rsidR="00000000" w:rsidRPr="000F1437" w:rsidRDefault="00E70EC8">
      <w:r w:rsidRPr="000F1437">
        <w:t>1) вводимые в эксплуатацию стройки и объекты с высокой степенью готовности;</w:t>
      </w:r>
    </w:p>
    <w:p w:rsidR="00000000" w:rsidRPr="000F1437" w:rsidRDefault="00E70EC8">
      <w:r w:rsidRPr="000F1437">
        <w:lastRenderedPageBreak/>
        <w:t>2) стройки и объекты, в строительство которых привлекаются различные источники финансирования;</w:t>
      </w:r>
    </w:p>
    <w:p w:rsidR="00000000" w:rsidRPr="000F1437" w:rsidRDefault="00E70EC8">
      <w:r w:rsidRPr="000F1437">
        <w:t>3) стройки и объекты, предусмотренные городскими целевыми программами;</w:t>
      </w:r>
    </w:p>
    <w:p w:rsidR="00000000" w:rsidRPr="000F1437" w:rsidRDefault="00E70EC8">
      <w:proofErr w:type="gramStart"/>
      <w:r w:rsidRPr="000F1437">
        <w:t xml:space="preserve">4) стройки и объекты, имеющие положительное заключение межведомственной комиссии по оценке и анализу объектов социальной и жилищной инфраструктуры, планируемых к проектированию и строительству на территории Челябинской области, созданной </w:t>
      </w:r>
      <w:r w:rsidRPr="000F1437">
        <w:rPr>
          <w:rStyle w:val="a4"/>
          <w:color w:val="auto"/>
        </w:rPr>
        <w:t>Постановлением</w:t>
      </w:r>
      <w:r w:rsidRPr="000F1437">
        <w:t xml:space="preserve"> Губернатора Челябинской области от 19.05.2003 N 210 "О межведомственной комиссии по оценке и анализу объектов социальной и жилищной инфраструктуры, планируемых к проектированию и строител</w:t>
      </w:r>
      <w:r w:rsidRPr="000F1437">
        <w:t>ьству на территории Челябинской области" (далее именуется - межведомственная</w:t>
      </w:r>
      <w:proofErr w:type="gramEnd"/>
      <w:r w:rsidRPr="000F1437">
        <w:t xml:space="preserve"> комиссия по оценке и анализу объектов социальной и жилищной инфраструктуры, планируемых к проектированию и строительству на территории Челябинской области);</w:t>
      </w:r>
    </w:p>
    <w:p w:rsidR="00000000" w:rsidRPr="000F1437" w:rsidRDefault="00E70EC8">
      <w:r w:rsidRPr="000F1437">
        <w:t>5) стройки и объекты, по которым принятые в пределах лимитов капитальных вложений бюджетные обязательства местного бюджета остались неисполненными в предыдущем финансовом году.</w:t>
      </w:r>
    </w:p>
    <w:p w:rsidR="00000000" w:rsidRPr="000F1437" w:rsidRDefault="00E70EC8">
      <w:bookmarkStart w:id="9" w:name="sub_1050"/>
      <w:r w:rsidRPr="000F1437">
        <w:t xml:space="preserve">5. Включение в Перечень </w:t>
      </w:r>
      <w:r w:rsidRPr="000F1437">
        <w:t>вновь начинаемых строек и объектов осуществляется после обеспечения потребности в финансовых средствах для переходящих строек и объектов.</w:t>
      </w:r>
    </w:p>
    <w:p w:rsidR="00000000" w:rsidRPr="000F1437" w:rsidRDefault="00E70EC8">
      <w:bookmarkStart w:id="10" w:name="sub_1060"/>
      <w:bookmarkEnd w:id="9"/>
      <w:r w:rsidRPr="000F1437">
        <w:t>6. Включение в Перечень строек и объектов, в отношении которых ведется разработка и утверждение градос</w:t>
      </w:r>
      <w:r w:rsidRPr="000F1437">
        <w:t xml:space="preserve">троительной, </w:t>
      </w:r>
      <w:proofErr w:type="spellStart"/>
      <w:r w:rsidRPr="000F1437">
        <w:t>предпроектной</w:t>
      </w:r>
      <w:proofErr w:type="spellEnd"/>
      <w:r w:rsidRPr="000F1437">
        <w:t xml:space="preserve"> и проектной документации осуществляется после обеспечения потребности в финансовых средствах для переходящих строек и объектов.</w:t>
      </w:r>
    </w:p>
    <w:bookmarkEnd w:id="10"/>
    <w:p w:rsidR="00000000" w:rsidRPr="000F1437" w:rsidRDefault="00E70EC8"/>
    <w:p w:rsidR="00000000" w:rsidRPr="000F1437" w:rsidRDefault="00E70EC8">
      <w:r w:rsidRPr="000F1437">
        <w:t xml:space="preserve">7. Лица, уполномоченные в </w:t>
      </w:r>
      <w:r w:rsidRPr="000F1437">
        <w:rPr>
          <w:rStyle w:val="a4"/>
          <w:color w:val="auto"/>
        </w:rPr>
        <w:t>п.2</w:t>
      </w:r>
      <w:r w:rsidRPr="000F1437">
        <w:t xml:space="preserve"> настоящего положения, формируют в 2-х экземплярах предложения по включению строек и объектов в Перечень, и представляют на соглас</w:t>
      </w:r>
      <w:r w:rsidRPr="000F1437">
        <w:t>ование главе округа за 1 месяц до формирования проекта бюджета округа на очередной финансовый год, с последующей передачей 1-го экземпляра в финансовое управление Златоустовского городского округа.</w:t>
      </w:r>
    </w:p>
    <w:p w:rsidR="00000000" w:rsidRPr="000F1437" w:rsidRDefault="00E70EC8">
      <w:bookmarkStart w:id="11" w:name="sub_1072"/>
      <w:r w:rsidRPr="000F1437">
        <w:t>Проект перечня строек и объектов, прогнозируемый н</w:t>
      </w:r>
      <w:r w:rsidRPr="000F1437">
        <w:t>а очередной финансовый год, утверждается главой округа.</w:t>
      </w:r>
    </w:p>
    <w:p w:rsidR="00000000" w:rsidRPr="000F1437" w:rsidRDefault="00E70EC8">
      <w:bookmarkStart w:id="12" w:name="sub_1080"/>
      <w:bookmarkEnd w:id="11"/>
      <w:r w:rsidRPr="000F1437">
        <w:t xml:space="preserve">8. До принятия решения о бюджете округа на очередной финансовый год Перечень может быть </w:t>
      </w:r>
      <w:proofErr w:type="gramStart"/>
      <w:r w:rsidRPr="000F1437">
        <w:t>уточнен</w:t>
      </w:r>
      <w:proofErr w:type="gramEnd"/>
      <w:r w:rsidRPr="000F1437">
        <w:t>, исходя из прогноза предельных объемов бюджетных средств, предусматриваемых на капитальн</w:t>
      </w:r>
      <w:r w:rsidRPr="000F1437">
        <w:t>ые вложения в очередном финансовом</w:t>
      </w:r>
    </w:p>
    <w:bookmarkEnd w:id="12"/>
    <w:p w:rsidR="00000000" w:rsidRPr="000F1437" w:rsidRDefault="00E70EC8"/>
    <w:p w:rsidR="00000000" w:rsidRPr="000F1437" w:rsidRDefault="00E70EC8">
      <w:pPr>
        <w:pStyle w:val="a7"/>
        <w:rPr>
          <w:color w:val="auto"/>
          <w:shd w:val="clear" w:color="auto" w:fill="F0F0F0"/>
        </w:rPr>
      </w:pPr>
    </w:p>
    <w:p w:rsidR="00000000" w:rsidRPr="000F1437" w:rsidRDefault="00E70EC8">
      <w:r w:rsidRPr="000F1437">
        <w:t>9. Уточненный Перечень предоставляется главе округа для утверждения.</w:t>
      </w:r>
    </w:p>
    <w:p w:rsidR="00000000" w:rsidRPr="000F1437" w:rsidRDefault="00E70EC8">
      <w:bookmarkStart w:id="13" w:name="sub_1100"/>
      <w:r w:rsidRPr="000F1437">
        <w:t xml:space="preserve">10. </w:t>
      </w:r>
      <w:r w:rsidRPr="000F1437">
        <w:rPr>
          <w:rStyle w:val="a4"/>
          <w:color w:val="auto"/>
        </w:rPr>
        <w:t>Утратил силу</w:t>
      </w:r>
    </w:p>
    <w:p w:rsidR="00000000" w:rsidRPr="000F1437" w:rsidRDefault="00E70EC8">
      <w:pPr>
        <w:pStyle w:val="1"/>
        <w:rPr>
          <w:color w:val="auto"/>
        </w:rPr>
      </w:pPr>
      <w:bookmarkStart w:id="14" w:name="sub_10300"/>
      <w:bookmarkEnd w:id="13"/>
      <w:r w:rsidRPr="000F1437">
        <w:rPr>
          <w:color w:val="auto"/>
        </w:rPr>
        <w:t>3. Финансирование строек и объектов дл</w:t>
      </w:r>
      <w:r w:rsidRPr="000F1437">
        <w:rPr>
          <w:color w:val="auto"/>
        </w:rPr>
        <w:t>я нужд городского округа</w:t>
      </w:r>
    </w:p>
    <w:bookmarkEnd w:id="14"/>
    <w:p w:rsidR="00000000" w:rsidRPr="000F1437" w:rsidRDefault="00E70EC8"/>
    <w:p w:rsidR="00000000" w:rsidRPr="000F1437" w:rsidRDefault="00E70EC8">
      <w:pPr>
        <w:pStyle w:val="a7"/>
        <w:rPr>
          <w:color w:val="auto"/>
          <w:shd w:val="clear" w:color="auto" w:fill="F0F0F0"/>
        </w:rPr>
      </w:pPr>
      <w:bookmarkStart w:id="15" w:name="_GoBack"/>
      <w:bookmarkEnd w:id="15"/>
    </w:p>
    <w:p w:rsidR="00000000" w:rsidRPr="000F1437" w:rsidRDefault="00E70EC8">
      <w:r w:rsidRPr="000F1437">
        <w:t>11. Перечень,</w:t>
      </w:r>
      <w:r w:rsidRPr="000F1437">
        <w:t xml:space="preserve"> утвержденный главой округа, является основанием для размещения заказов на выполнение работ для муниципальных нужд по вновь начинаемым стройкам и объектам для выбора подрядной организации в соответствии с действующим законодательством.</w:t>
      </w:r>
    </w:p>
    <w:p w:rsidR="00000000" w:rsidRPr="000F1437" w:rsidRDefault="00E70EC8">
      <w:bookmarkStart w:id="16" w:name="sub_1012"/>
      <w:r w:rsidRPr="000F1437">
        <w:t>12. Расходов</w:t>
      </w:r>
      <w:r w:rsidRPr="000F1437">
        <w:t>ание сре</w:t>
      </w:r>
      <w:proofErr w:type="gramStart"/>
      <w:r w:rsidRPr="000F1437">
        <w:t>дств с л</w:t>
      </w:r>
      <w:proofErr w:type="gramEnd"/>
      <w:r w:rsidRPr="000F1437">
        <w:t>ицевого счета заказчика открытого в финансовом управлении Златоустовского городского округа осуществляется по заявкам заказчика, на основании договоров на выполнение работ (оказание услуг), учтенных в виде обязательств местного бюджета с пр</w:t>
      </w:r>
      <w:r w:rsidRPr="000F1437">
        <w:t>едставлением документов, подтверждающих целевое использование средств местного бюджета.</w:t>
      </w:r>
    </w:p>
    <w:p w:rsidR="00000000" w:rsidRPr="000F1437" w:rsidRDefault="00E70EC8">
      <w:bookmarkStart w:id="17" w:name="sub_1013"/>
      <w:bookmarkEnd w:id="16"/>
      <w:r w:rsidRPr="000F1437">
        <w:t xml:space="preserve">13. </w:t>
      </w:r>
      <w:proofErr w:type="gramStart"/>
      <w:r w:rsidRPr="000F1437">
        <w:t>Договором на выполнение работ (оказание услуг) может быть предусмотрено авансирование работ, проводимых на стройках и объектах, включенных в Перечен</w:t>
      </w:r>
      <w:r w:rsidRPr="000F1437">
        <w:t>ь, в размере до 50 процентов от суммы капитальных вложений по стройке (объекту) на финансовый год, определенном условиями договора в зависимости от социального значения строек и объектов и сроков ввода их в эксплуатацию.</w:t>
      </w:r>
      <w:proofErr w:type="gramEnd"/>
    </w:p>
    <w:p w:rsidR="00000000" w:rsidRPr="000F1437" w:rsidRDefault="00E70EC8">
      <w:bookmarkStart w:id="18" w:name="sub_1014"/>
      <w:bookmarkEnd w:id="17"/>
      <w:r w:rsidRPr="000F1437">
        <w:lastRenderedPageBreak/>
        <w:t xml:space="preserve">14. Финансирование </w:t>
      </w:r>
      <w:r w:rsidRPr="000F1437">
        <w:t>объектов, включенных в Перечень (кроме привлеченных средств ипотечного жилищного кредитования, средств федерального и областного бюджета) является расходным обязательством местного бюджета.</w:t>
      </w:r>
    </w:p>
    <w:p w:rsidR="00000000" w:rsidRPr="000F1437" w:rsidRDefault="00E70EC8">
      <w:bookmarkStart w:id="19" w:name="sub_1015"/>
      <w:bookmarkEnd w:id="18"/>
      <w:r w:rsidRPr="000F1437">
        <w:t xml:space="preserve">15. Финансирование объектов, указанных в </w:t>
      </w:r>
      <w:r w:rsidRPr="000F1437">
        <w:rPr>
          <w:rStyle w:val="a4"/>
          <w:color w:val="auto"/>
        </w:rPr>
        <w:t>пункте 14</w:t>
      </w:r>
      <w:r w:rsidRPr="000F1437">
        <w:t>, осуществляется в пределах средств, предусмотренных Решением о бюджете на соответствующий финансовый год.</w:t>
      </w:r>
    </w:p>
    <w:bookmarkEnd w:id="19"/>
    <w:p w:rsidR="00E70EC8" w:rsidRPr="000F1437" w:rsidRDefault="00E70EC8"/>
    <w:sectPr w:rsidR="00E70EC8" w:rsidRPr="000F1437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C8" w:rsidRDefault="00E70EC8">
      <w:r>
        <w:separator/>
      </w:r>
    </w:p>
  </w:endnote>
  <w:endnote w:type="continuationSeparator" w:id="0">
    <w:p w:rsidR="00E70EC8" w:rsidRDefault="00E7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70EC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0EC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70EC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C8" w:rsidRDefault="00E70EC8">
      <w:r>
        <w:separator/>
      </w:r>
    </w:p>
  </w:footnote>
  <w:footnote w:type="continuationSeparator" w:id="0">
    <w:p w:rsidR="00E70EC8" w:rsidRDefault="00E7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0E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27 марта 2006 г. N 66-п "Об утверждении порядка…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37"/>
    <w:rsid w:val="000F1437"/>
    <w:rsid w:val="00E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2022-08-08T11:30:00Z</dcterms:created>
  <dcterms:modified xsi:type="dcterms:W3CDTF">2022-08-08T11:30:00Z</dcterms:modified>
</cp:coreProperties>
</file>