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D51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9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1594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215941" w:rsidRDefault="00DC242D" w:rsidP="00DC242D">
      <w:pPr>
        <w:rPr>
          <w:sz w:val="12"/>
          <w:szCs w:val="12"/>
        </w:rPr>
      </w:pPr>
    </w:p>
    <w:p w:rsidR="00DC242D" w:rsidRPr="00215941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D51E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D51E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15941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215941">
            <w:pPr>
              <w:ind w:right="142"/>
              <w:jc w:val="both"/>
            </w:pPr>
            <w:r>
              <w:t xml:space="preserve">Об утверждении плана мероприятий в рамках реализации муниципальной программы «Развитие образования </w:t>
            </w:r>
            <w:r w:rsidR="00215941">
              <w:br/>
            </w:r>
            <w:r>
              <w:t>и молодежной политики Златоустовского городского округа» на 2025 год</w:t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21594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5941" w:rsidRDefault="00215941" w:rsidP="00215941">
      <w:pPr>
        <w:widowControl w:val="0"/>
        <w:tabs>
          <w:tab w:val="left" w:pos="993"/>
        </w:tabs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Федерации», решением Собрания депутатов Златоустовского город</w:t>
      </w:r>
      <w:r w:rsidR="00466216">
        <w:t>ского округа от 01.12.2014 г. № </w:t>
      </w:r>
      <w:r>
        <w:t xml:space="preserve">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215941" w:rsidRDefault="00215941" w:rsidP="0021594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план мероприятий в рамках реализации муниципальной программы «Развитие образования и молодежной политики Златоустовского городского округа» на 2025 год» (приложение).</w:t>
      </w:r>
    </w:p>
    <w:p w:rsidR="00215941" w:rsidRDefault="00215941" w:rsidP="0021594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215941" w:rsidRDefault="00215941" w:rsidP="0021594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исполняющего обязанности начальника муниципального казенного учреждения Управление образования и молодежной политики Златоустовского городского округа Ионову Н.В.</w:t>
      </w:r>
    </w:p>
    <w:p w:rsidR="009416DA" w:rsidRDefault="00215941" w:rsidP="0021594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66216" w:rsidRDefault="00466216" w:rsidP="00215941">
      <w:pPr>
        <w:widowControl w:val="0"/>
        <w:tabs>
          <w:tab w:val="left" w:pos="993"/>
        </w:tabs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1594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15941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5402A9" w:rsidRDefault="005402A9" w:rsidP="004574CC">
      <w:pPr>
        <w:sectPr w:rsidR="005402A9" w:rsidSect="0021594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5402A9" w:rsidRDefault="005402A9" w:rsidP="005402A9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</w:t>
      </w:r>
    </w:p>
    <w:p w:rsidR="005402A9" w:rsidRDefault="005402A9" w:rsidP="005402A9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402A9" w:rsidRDefault="005402A9" w:rsidP="005402A9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402A9" w:rsidRDefault="005402A9" w:rsidP="005402A9">
      <w:pPr>
        <w:ind w:left="9923"/>
        <w:jc w:val="center"/>
      </w:pPr>
      <w:r>
        <w:t>Златоустовско</w:t>
      </w:r>
      <w:bookmarkStart w:id="0" w:name="_GoBack"/>
      <w:bookmarkEnd w:id="0"/>
      <w:r>
        <w:t>го городского округа</w:t>
      </w:r>
    </w:p>
    <w:p w:rsidR="005402A9" w:rsidRDefault="005402A9" w:rsidP="005402A9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35C9C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35C9C">
        <w:rPr>
          <w:rFonts w:ascii="Times New Roman" w:hAnsi="Times New Roman"/>
          <w:sz w:val="28"/>
          <w:szCs w:val="28"/>
        </w:rPr>
        <w:t>526-р/АДМ</w:t>
      </w:r>
    </w:p>
    <w:p w:rsidR="005402A9" w:rsidRPr="005402A9" w:rsidRDefault="005402A9" w:rsidP="005402A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5402A9" w:rsidRDefault="005402A9" w:rsidP="005402A9">
      <w:pPr>
        <w:ind w:left="360"/>
        <w:jc w:val="center"/>
        <w:rPr>
          <w:bCs/>
        </w:rPr>
      </w:pPr>
      <w:r>
        <w:t>План</w:t>
      </w:r>
      <w:r>
        <w:rPr>
          <w:bCs/>
        </w:rPr>
        <w:t xml:space="preserve"> мероприятий в рамках реализации муниципальной программы «Развитие образования и молодежной политики Златоустовского городского округа» на 2025 год</w:t>
      </w:r>
    </w:p>
    <w:tbl>
      <w:tblPr>
        <w:tblW w:w="15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1482"/>
        <w:gridCol w:w="1985"/>
        <w:gridCol w:w="1671"/>
      </w:tblGrid>
      <w:tr w:rsidR="005402A9" w:rsidRPr="005402A9" w:rsidTr="00BF18B4">
        <w:trPr>
          <w:trHeight w:val="201"/>
        </w:trPr>
        <w:tc>
          <w:tcPr>
            <w:tcW w:w="567" w:type="dxa"/>
            <w:vAlign w:val="center"/>
            <w:hideMark/>
          </w:tcPr>
          <w:p w:rsidR="005402A9" w:rsidRPr="005402A9" w:rsidRDefault="005402A9" w:rsidP="005402A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482" w:type="dxa"/>
            <w:vAlign w:val="center"/>
            <w:hideMark/>
          </w:tcPr>
          <w:p w:rsidR="005402A9" w:rsidRPr="005402A9" w:rsidRDefault="005402A9" w:rsidP="005402A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5402A9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5402A9" w:rsidRPr="005402A9" w:rsidTr="00BF18B4">
        <w:trPr>
          <w:trHeight w:val="469"/>
        </w:trPr>
        <w:tc>
          <w:tcPr>
            <w:tcW w:w="15705" w:type="dxa"/>
            <w:gridSpan w:val="4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2" w:type="dxa"/>
            <w:hideMark/>
          </w:tcPr>
          <w:p w:rsidR="005402A9" w:rsidRPr="005402A9" w:rsidRDefault="005402A9" w:rsidP="005402A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Городская лига игр Клуба веселых и находчивых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val="en-US" w:eastAsia="en-US"/>
              </w:rPr>
              <w:t>316</w:t>
            </w:r>
            <w:r w:rsidRPr="005402A9">
              <w:rPr>
                <w:bCs/>
                <w:sz w:val="24"/>
                <w:szCs w:val="24"/>
                <w:lang w:eastAsia="en-US"/>
              </w:rPr>
              <w:t>,1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2" w:type="dxa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молодежного клуба аналитического клуба «Точка зрения»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городского конкурса «Доброволец года»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апрель-декабрь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35,0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Городское мероприятие День молодежи 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Фестиваль молодых рок-групп «Златрокфест-2025»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70,0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951,1</w:t>
            </w:r>
          </w:p>
        </w:tc>
      </w:tr>
      <w:tr w:rsidR="005402A9" w:rsidRPr="005402A9" w:rsidTr="00BF18B4">
        <w:trPr>
          <w:trHeight w:val="401"/>
        </w:trPr>
        <w:tc>
          <w:tcPr>
            <w:tcW w:w="15705" w:type="dxa"/>
            <w:gridSpan w:val="4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Мероприятия по работе с молодежью «Молодежь и дети»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Мероприятия, направленные на организацию и проведение молодежных образовательных форумов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март-октябрь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171,0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</w:rPr>
            </w:pPr>
            <w:r w:rsidRPr="005402A9">
              <w:rPr>
                <w:sz w:val="24"/>
                <w:szCs w:val="24"/>
              </w:rPr>
              <w:t>Мероприятия по профилактике и противодействию экстремизму и терроризму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Мероприятия, направленные на поддержку работающей молодежи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</w:rPr>
            </w:pPr>
            <w:r w:rsidRPr="005402A9">
              <w:rPr>
                <w:sz w:val="24"/>
                <w:szCs w:val="24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80,0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hideMark/>
          </w:tcPr>
          <w:p w:rsidR="005402A9" w:rsidRPr="005402A9" w:rsidRDefault="005402A9" w:rsidP="005402A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421,0</w:t>
            </w:r>
          </w:p>
        </w:tc>
      </w:tr>
      <w:tr w:rsidR="005402A9" w:rsidRPr="005402A9" w:rsidTr="00BF18B4">
        <w:trPr>
          <w:trHeight w:val="43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38" w:type="dxa"/>
            <w:gridSpan w:val="3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rFonts w:eastAsia="Calibri"/>
                <w:sz w:val="24"/>
                <w:szCs w:val="24"/>
              </w:rPr>
            </w:pPr>
            <w:r w:rsidRPr="005402A9">
              <w:rPr>
                <w:rFonts w:eastAsia="Calibri"/>
                <w:sz w:val="24"/>
                <w:szCs w:val="24"/>
              </w:rPr>
              <w:t>Организация и проведение городского конкурса для детей, состоящих на различных видах учета «Время быть лучше»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5402A9">
              <w:rPr>
                <w:sz w:val="24"/>
                <w:szCs w:val="24"/>
              </w:rPr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rFonts w:eastAsia="Calibri"/>
                <w:sz w:val="24"/>
                <w:szCs w:val="24"/>
              </w:rPr>
            </w:pPr>
            <w:r w:rsidRPr="005402A9">
              <w:rPr>
                <w:rFonts w:eastAsia="Calibri"/>
                <w:sz w:val="24"/>
                <w:szCs w:val="24"/>
              </w:rPr>
              <w:t>Муниципальный этап областного конкурса «Ученик года»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Конкурсные мероприятия краеведческого курса«Я </w:t>
            </w: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5402A9">
              <w:rPr>
                <w:sz w:val="24"/>
                <w:szCs w:val="24"/>
                <w:lang w:eastAsia="en-US"/>
              </w:rPr>
              <w:t>Златоустовец»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Городской шахматно-шашечный турнир «Белая ладья» и «Чудо-шашки» имени А.Е. Карпова среди общеобразовательных организаций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shd w:val="clear" w:color="auto" w:fill="FFFFFF"/>
              </w:rPr>
              <w:t>Городской конкурс «Путь к звездам – 2025»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5402A9">
              <w:rPr>
                <w:sz w:val="24"/>
                <w:szCs w:val="24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highlight w:val="yellow"/>
                <w:lang w:val="en-US"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Городское первенствопо авиационным моделям имени Льва Александровича Комарова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14,0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Муниципальный этап состязаний роботов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фестиваля детского художественного творчества «Музыкальный серпантин»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победителей муниципального, победителей и призеров регионального этапов Всероссийской и Областной олимпиад школьников «Интеллектуальный Олимп-2025»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90,0</w:t>
            </w:r>
          </w:p>
        </w:tc>
      </w:tr>
      <w:tr w:rsidR="005402A9" w:rsidRPr="005402A9" w:rsidTr="00BF18B4">
        <w:trPr>
          <w:trHeight w:val="355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75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Мероприятия в рамках реализации городского проекта «Семья – начало всех начал»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Организация и проведени</w:t>
            </w:r>
            <w:r>
              <w:rPr>
                <w:sz w:val="24"/>
                <w:szCs w:val="24"/>
              </w:rPr>
              <w:t>е городского шашечного турнира «</w:t>
            </w:r>
            <w:r w:rsidRPr="005402A9">
              <w:rPr>
                <w:sz w:val="24"/>
                <w:szCs w:val="24"/>
              </w:rPr>
              <w:t>Волшебная шашка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5402A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Организация и проведение открытого городского туристического слета среди дошкольн</w:t>
            </w:r>
            <w:r>
              <w:rPr>
                <w:sz w:val="24"/>
                <w:szCs w:val="24"/>
              </w:rPr>
              <w:t>ых образовательных организаций «</w:t>
            </w:r>
            <w:r w:rsidRPr="005402A9">
              <w:rPr>
                <w:sz w:val="24"/>
                <w:szCs w:val="24"/>
              </w:rPr>
              <w:t>Туристята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</w:rPr>
            </w:pPr>
            <w:r w:rsidRPr="005402A9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изация и проведение праздника  «</w:t>
            </w:r>
            <w:r w:rsidRPr="005402A9">
              <w:rPr>
                <w:sz w:val="24"/>
                <w:szCs w:val="24"/>
              </w:rPr>
              <w:t>детский Сабантуй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1673,4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Мероприятия, посвященныеДню знаний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фестиваля национальных культур «Златоуст многоликий»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Организация и проведение семейного фестиваля «Солнечный круг для семей, воспитывающих детей </w:t>
            </w:r>
            <w:r>
              <w:rPr>
                <w:sz w:val="24"/>
                <w:szCs w:val="24"/>
                <w:lang w:eastAsia="en-US"/>
              </w:rPr>
              <w:br/>
            </w:r>
            <w:r w:rsidRPr="005402A9">
              <w:rPr>
                <w:sz w:val="24"/>
                <w:szCs w:val="24"/>
                <w:lang w:eastAsia="en-US"/>
              </w:rPr>
              <w:t>с ограниченными возможностями здоровья (тяжелые нарушения речи)»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Городское первенствопо судомоделям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36,0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муниципального этапа областного конкурсапо Лего - конструированию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38,0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Городская спартакиадапо развитию кадетского движения имени Гвардии подполковника Льва Юрьевича Конюшего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227,0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4008,6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15,0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1530,0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Организация и проведение мероприятий, направленныхна экологическое просвещение обучающихся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Изготовление и размещение социально - просветительской программы «Образование: путь к успеху»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890,0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9 452,0</w:t>
            </w:r>
          </w:p>
        </w:tc>
      </w:tr>
      <w:tr w:rsidR="005402A9" w:rsidRPr="005402A9" w:rsidTr="00BF18B4">
        <w:trPr>
          <w:trHeight w:val="489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38" w:type="dxa"/>
            <w:gridSpan w:val="3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Прочие мероприятия в области образования</w:t>
            </w:r>
          </w:p>
        </w:tc>
      </w:tr>
      <w:tr w:rsidR="005402A9" w:rsidRPr="005402A9" w:rsidTr="00BF18B4">
        <w:trPr>
          <w:trHeight w:val="444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 проведении курса «Эффективный родитель: основы родительской компетентности»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Муниципальный этап областного конкурса профессионального мастерства «Учитель года» в Златоустовском городском округе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BF18B4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 xml:space="preserve">Муниципальный этап регионального конкурса профессионального мастерства «Лучший педагог-библиотекарь </w:t>
            </w:r>
            <w:r w:rsidR="00BF18B4">
              <w:rPr>
                <w:sz w:val="24"/>
                <w:szCs w:val="24"/>
                <w:lang w:eastAsia="en-US"/>
              </w:rPr>
              <w:t>-</w:t>
            </w:r>
            <w:r w:rsidRPr="005402A9">
              <w:rPr>
                <w:sz w:val="24"/>
                <w:szCs w:val="24"/>
                <w:lang w:eastAsia="en-US"/>
              </w:rPr>
              <w:t xml:space="preserve"> 2025»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июнь-декабрь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Августовское совещание для работников сферы образования Златоустовского городского округа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244,8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5402A9" w:rsidRPr="005402A9" w:rsidRDefault="005402A9" w:rsidP="005402A9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shd w:val="clear" w:color="auto" w:fill="FFFFFF"/>
              </w:rPr>
              <w:t>Форум молодых педагогов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671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300,0</w:t>
            </w:r>
          </w:p>
        </w:tc>
      </w:tr>
      <w:tr w:rsidR="005402A9" w:rsidRPr="005402A9" w:rsidTr="00BF18B4">
        <w:trPr>
          <w:trHeight w:val="201"/>
        </w:trPr>
        <w:tc>
          <w:tcPr>
            <w:tcW w:w="567" w:type="dxa"/>
            <w:hideMark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82" w:type="dxa"/>
            <w:shd w:val="clear" w:color="auto" w:fill="FFFFFF"/>
            <w:vAlign w:val="center"/>
            <w:hideMark/>
          </w:tcPr>
          <w:p w:rsidR="005402A9" w:rsidRPr="005402A9" w:rsidRDefault="005402A9" w:rsidP="00BF18B4">
            <w:pPr>
              <w:jc w:val="both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Мероприятия посвященные«Дню Учителя»</w:t>
            </w:r>
          </w:p>
        </w:tc>
        <w:tc>
          <w:tcPr>
            <w:tcW w:w="1985" w:type="dxa"/>
            <w:vAlign w:val="center"/>
            <w:hideMark/>
          </w:tcPr>
          <w:p w:rsidR="005402A9" w:rsidRPr="005402A9" w:rsidRDefault="005402A9" w:rsidP="00BF18B4">
            <w:pPr>
              <w:tabs>
                <w:tab w:val="left" w:pos="109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402A9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1 500,0</w:t>
            </w:r>
          </w:p>
        </w:tc>
      </w:tr>
      <w:tr w:rsidR="005402A9" w:rsidRPr="005402A9" w:rsidTr="00AF70BC">
        <w:trPr>
          <w:trHeight w:val="280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vAlign w:val="center"/>
            <w:hideMark/>
          </w:tcPr>
          <w:p w:rsidR="005402A9" w:rsidRPr="005402A9" w:rsidRDefault="005402A9" w:rsidP="00BF18B4">
            <w:pPr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 xml:space="preserve">Итог: 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2 574,8</w:t>
            </w:r>
          </w:p>
        </w:tc>
      </w:tr>
      <w:tr w:rsidR="005402A9" w:rsidRPr="005402A9" w:rsidTr="00BF18B4">
        <w:trPr>
          <w:trHeight w:val="457"/>
        </w:trPr>
        <w:tc>
          <w:tcPr>
            <w:tcW w:w="567" w:type="dxa"/>
          </w:tcPr>
          <w:p w:rsidR="005402A9" w:rsidRPr="005402A9" w:rsidRDefault="005402A9" w:rsidP="00A4181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vAlign w:val="center"/>
            <w:hideMark/>
          </w:tcPr>
          <w:p w:rsidR="005402A9" w:rsidRPr="005402A9" w:rsidRDefault="005402A9" w:rsidP="00BF18B4">
            <w:pPr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1985" w:type="dxa"/>
            <w:vAlign w:val="center"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vAlign w:val="center"/>
            <w:hideMark/>
          </w:tcPr>
          <w:p w:rsidR="005402A9" w:rsidRPr="005402A9" w:rsidRDefault="005402A9" w:rsidP="00BF18B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402A9">
              <w:rPr>
                <w:bCs/>
                <w:sz w:val="24"/>
                <w:szCs w:val="24"/>
                <w:lang w:eastAsia="en-US"/>
              </w:rPr>
              <w:t>12 026,8</w:t>
            </w:r>
          </w:p>
        </w:tc>
      </w:tr>
    </w:tbl>
    <w:p w:rsidR="00CF1C4C" w:rsidRPr="00E335AA" w:rsidRDefault="00CF1C4C" w:rsidP="004574CC"/>
    <w:sectPr w:rsidR="00CF1C4C" w:rsidRPr="00E335AA" w:rsidSect="005402A9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C28" w:rsidRDefault="00EA6C28">
      <w:r>
        <w:separator/>
      </w:r>
    </w:p>
  </w:endnote>
  <w:endnote w:type="continuationSeparator" w:id="1">
    <w:p w:rsidR="00EA6C28" w:rsidRDefault="00EA6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Вр-411740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Вр-411740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C28" w:rsidRDefault="00EA6C28">
      <w:r>
        <w:separator/>
      </w:r>
    </w:p>
  </w:footnote>
  <w:footnote w:type="continuationSeparator" w:id="1">
    <w:p w:rsidR="00EA6C28" w:rsidRDefault="00EA6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D51E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B2E9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594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216"/>
    <w:rsid w:val="00466761"/>
    <w:rsid w:val="00475A38"/>
    <w:rsid w:val="004933A9"/>
    <w:rsid w:val="00496E14"/>
    <w:rsid w:val="0049722E"/>
    <w:rsid w:val="00497AEA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02A9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5C9C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2E94"/>
    <w:rsid w:val="00AC2608"/>
    <w:rsid w:val="00AC3339"/>
    <w:rsid w:val="00AD21C5"/>
    <w:rsid w:val="00AD6541"/>
    <w:rsid w:val="00AF3F0F"/>
    <w:rsid w:val="00AF70BC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8B4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6C28"/>
    <w:rsid w:val="00EB2C45"/>
    <w:rsid w:val="00EB5D64"/>
    <w:rsid w:val="00EC20D3"/>
    <w:rsid w:val="00ED1AE3"/>
    <w:rsid w:val="00ED3308"/>
    <w:rsid w:val="00ED3D66"/>
    <w:rsid w:val="00ED51E8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402A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402A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402A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402A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2025-02-21T11:02:00Z</dcterms:created>
  <dcterms:modified xsi:type="dcterms:W3CDTF">2025-02-21T11:02:00Z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