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522B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904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16"/>
        <w:gridCol w:w="736"/>
        <w:gridCol w:w="1617"/>
        <w:gridCol w:w="646"/>
        <w:gridCol w:w="3946"/>
      </w:tblGrid>
      <w:tr w:rsidR="009416DA" w:rsidRPr="00E335AA" w:rsidTr="00E26338">
        <w:trPr>
          <w:trHeight w:val="446"/>
        </w:trPr>
        <w:tc>
          <w:tcPr>
            <w:tcW w:w="1616" w:type="dxa"/>
            <w:tcBorders>
              <w:bottom w:val="single" w:sz="4" w:space="0" w:color="auto"/>
            </w:tcBorders>
          </w:tcPr>
          <w:p w:rsidR="009416DA" w:rsidRPr="009416DA" w:rsidRDefault="007522B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27.12.2024 г.</w:t>
              </w:r>
            </w:fldSimple>
          </w:p>
        </w:tc>
        <w:tc>
          <w:tcPr>
            <w:tcW w:w="73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9416DA" w:rsidRPr="009416DA" w:rsidRDefault="007522BE" w:rsidP="00E4076D">
            <w:fldSimple w:instr=" DOCPROPERTY  Рег.№  \* MERGEFORMAT ">
              <w:r w:rsidR="009416DA" w:rsidRPr="009416DA">
                <w:t>696-П/АДМ</w:t>
              </w:r>
            </w:fldSimple>
          </w:p>
        </w:tc>
        <w:tc>
          <w:tcPr>
            <w:tcW w:w="459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2633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92" w:type="dxa"/>
            <w:gridSpan w:val="2"/>
          </w:tcPr>
          <w:p w:rsidR="009416DA" w:rsidRPr="00E335AA" w:rsidRDefault="009416DA" w:rsidP="0065508B"/>
        </w:tc>
      </w:tr>
      <w:tr w:rsidR="00D96BA1" w:rsidRPr="00E335AA" w:rsidTr="00E26338">
        <w:trPr>
          <w:trHeight w:val="446"/>
        </w:trPr>
        <w:tc>
          <w:tcPr>
            <w:tcW w:w="4615" w:type="dxa"/>
            <w:gridSpan w:val="4"/>
            <w:tcMar>
              <w:left w:w="0" w:type="dxa"/>
            </w:tcMar>
          </w:tcPr>
          <w:p w:rsidR="00D96BA1" w:rsidRDefault="00D957CC" w:rsidP="00D96169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</w:t>
            </w:r>
            <w:bookmarkStart w:id="0" w:name="_GoBack"/>
            <w:bookmarkEnd w:id="0"/>
            <w:r>
              <w:t xml:space="preserve">ого </w:t>
            </w:r>
            <w:r w:rsidR="00D96169">
              <w:br/>
            </w:r>
            <w:r>
              <w:t>округа от 18.01.2024 г. № 3-П/АДМ</w:t>
            </w:r>
            <w:r w:rsidR="00D96169">
              <w:br/>
              <w:t>«</w:t>
            </w:r>
            <w:r>
              <w:t>О закреплении полномочий администратора доходов</w:t>
            </w:r>
            <w:r w:rsidR="00D96169">
              <w:br/>
            </w:r>
            <w:r>
              <w:t>за администрацией Златоустовского городского округа</w:t>
            </w:r>
            <w:r w:rsidR="00D96169">
              <w:t>»</w:t>
            </w:r>
          </w:p>
        </w:tc>
        <w:tc>
          <w:tcPr>
            <w:tcW w:w="3946" w:type="dxa"/>
            <w:tcMar>
              <w:left w:w="0" w:type="dxa"/>
            </w:tcMar>
          </w:tcPr>
          <w:p w:rsidR="00D96BA1" w:rsidRDefault="00D96BA1" w:rsidP="00D957CC">
            <w:pPr>
              <w:jc w:val="both"/>
            </w:pPr>
          </w:p>
        </w:tc>
      </w:tr>
    </w:tbl>
    <w:p w:rsidR="009416DA" w:rsidRPr="00D96169" w:rsidRDefault="009416DA" w:rsidP="009416DA">
      <w:pPr>
        <w:widowControl w:val="0"/>
        <w:ind w:firstLine="709"/>
        <w:jc w:val="both"/>
        <w:rPr>
          <w:sz w:val="36"/>
          <w:szCs w:val="36"/>
        </w:rPr>
      </w:pPr>
    </w:p>
    <w:p w:rsidR="00D957CC" w:rsidRDefault="00D957CC" w:rsidP="00D957CC">
      <w:pPr>
        <w:widowControl w:val="0"/>
        <w:ind w:firstLine="709"/>
        <w:jc w:val="both"/>
      </w:pPr>
      <w:r>
        <w:t>В целях уточнения муниципального правового акта Златоустовского городского округа,</w:t>
      </w:r>
    </w:p>
    <w:p w:rsidR="00D957CC" w:rsidRDefault="00D957CC" w:rsidP="00D957CC">
      <w:pPr>
        <w:widowControl w:val="0"/>
        <w:ind w:firstLine="709"/>
        <w:jc w:val="both"/>
      </w:pPr>
      <w:r>
        <w:t>ПОСТАНОВЛЯЮ:</w:t>
      </w:r>
    </w:p>
    <w:p w:rsidR="009416DA" w:rsidRDefault="00D957CC" w:rsidP="00D957CC">
      <w:pPr>
        <w:widowControl w:val="0"/>
        <w:ind w:firstLine="709"/>
        <w:jc w:val="both"/>
      </w:pPr>
      <w:r>
        <w:t>1. </w:t>
      </w:r>
      <w:r w:rsidR="00D96169">
        <w:t>Строку </w:t>
      </w:r>
      <w:r>
        <w:t xml:space="preserve">16 приложения к постановлению </w:t>
      </w:r>
      <w:r w:rsidR="00D96169">
        <w:t>администрации Златоустовского городского округа от 18.01.2024 г. № </w:t>
      </w:r>
      <w:r>
        <w:t>3-П/АДМ «О закреплении полномочий администратора доходов за администрацией Златоустовского городского округа» изложить в новой редакции:</w:t>
      </w:r>
    </w:p>
    <w:p w:rsidR="00D96169" w:rsidRDefault="00D96169" w:rsidP="00D96169">
      <w:pPr>
        <w:widowControl w:val="0"/>
        <w:jc w:val="both"/>
      </w:pPr>
      <w:r>
        <w:t>«</w:t>
      </w:r>
    </w:p>
    <w:tbl>
      <w:tblPr>
        <w:tblpPr w:leftFromText="180" w:rightFromText="180" w:vertAnchor="text" w:horzAnchor="margin" w:tblpX="108" w:tblpY="4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2642"/>
        <w:gridCol w:w="6662"/>
      </w:tblGrid>
      <w:tr w:rsidR="00D957CC" w:rsidRPr="009D1F4E" w:rsidTr="00D96169">
        <w:trPr>
          <w:trHeight w:val="329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CC" w:rsidRPr="009D1F4E" w:rsidRDefault="00D957CC" w:rsidP="00D957CC">
            <w:pPr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9D1F4E">
              <w:rPr>
                <w:sz w:val="24"/>
                <w:szCs w:val="24"/>
              </w:rPr>
              <w:t>112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CC" w:rsidRPr="009D1F4E" w:rsidRDefault="00D957CC" w:rsidP="00D957CC">
            <w:pPr>
              <w:spacing w:line="276" w:lineRule="auto"/>
              <w:ind w:left="-57" w:right="-57"/>
              <w:jc w:val="both"/>
              <w:rPr>
                <w:sz w:val="24"/>
                <w:szCs w:val="24"/>
              </w:rPr>
            </w:pPr>
            <w:r w:rsidRPr="009D1F4E">
              <w:rPr>
                <w:sz w:val="24"/>
                <w:szCs w:val="24"/>
              </w:rPr>
              <w:t>1 16 11050 01 0000 140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7CC" w:rsidRPr="009D1F4E" w:rsidRDefault="00D957CC" w:rsidP="00D96169">
            <w:pPr>
              <w:pStyle w:val="ac"/>
              <w:ind w:left="-57" w:right="-57"/>
              <w:jc w:val="both"/>
            </w:pPr>
            <w:r w:rsidRPr="009D1F4E"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среде(за исключением вреда, причиненного окружающей среде на особо ох</w:t>
            </w:r>
            <w:r>
              <w:t xml:space="preserve">раняемых природных территориях, </w:t>
            </w:r>
            <w:r w:rsidRPr="009D1F4E">
              <w:t>вреда, причиненного водным объектам</w:t>
            </w:r>
            <w:r>
              <w:t xml:space="preserve">, атмосферному воздуху, почвам, недрам, объектам животного мира, занесенным в Красную книгу Российской Федерации, а также иным объектам животного мира, </w:t>
            </w:r>
            <w:r w:rsidR="00D96169">
              <w:br/>
            </w:r>
            <w:r>
              <w:t xml:space="preserve">не относящихся к объектам охоты и рыболовства </w:t>
            </w:r>
            <w:r w:rsidR="00D96169">
              <w:br/>
            </w:r>
            <w:r>
              <w:t>и среде их обитания</w:t>
            </w:r>
            <w:r w:rsidRPr="009D1F4E">
              <w:t xml:space="preserve">), подлежащие зачислению </w:t>
            </w:r>
            <w:r w:rsidR="00D96169">
              <w:br/>
            </w:r>
            <w:r w:rsidRPr="009D1F4E">
              <w:t>в бюджет муниципального образования</w:t>
            </w:r>
          </w:p>
        </w:tc>
      </w:tr>
    </w:tbl>
    <w:p w:rsidR="00D96169" w:rsidRDefault="00D96169" w:rsidP="00D96169">
      <w:pPr>
        <w:widowControl w:val="0"/>
        <w:ind w:firstLine="709"/>
        <w:jc w:val="right"/>
      </w:pPr>
      <w:r>
        <w:t>».</w:t>
      </w:r>
    </w:p>
    <w:p w:rsidR="00D957CC" w:rsidRDefault="00D957CC" w:rsidP="00D957CC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D957CC" w:rsidRDefault="00D957CC" w:rsidP="00D957CC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328"/>
        <w:gridCol w:w="3317"/>
        <w:gridCol w:w="2308"/>
      </w:tblGrid>
      <w:tr w:rsidR="00347398" w:rsidRPr="00E335AA" w:rsidTr="00D957C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957C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D961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77" w:right="510" w:bottom="1077" w:left="1588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941" w:rsidRDefault="008A2941">
      <w:r>
        <w:separator/>
      </w:r>
    </w:p>
  </w:endnote>
  <w:endnote w:type="continuationSeparator" w:id="1">
    <w:p w:rsidR="008A2941" w:rsidRDefault="008A2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Вр-402009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941" w:rsidRDefault="008A2941">
      <w:r>
        <w:separator/>
      </w:r>
    </w:p>
  </w:footnote>
  <w:footnote w:type="continuationSeparator" w:id="1">
    <w:p w:rsidR="008A2941" w:rsidRDefault="008A2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522B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05DA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22B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5DA5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2941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57CC"/>
    <w:rsid w:val="00D96169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3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D9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D9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2024-12-28T06:28:00Z</dcterms:created>
  <dcterms:modified xsi:type="dcterms:W3CDTF">2024-12-28T06:28:00Z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