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307ED2" w:rsidRDefault="00BD730C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653211" r:id="rId8"/>
        </w:pict>
      </w:r>
      <w:r w:rsidR="00DC242D" w:rsidRPr="00307ED2">
        <w:rPr>
          <w:sz w:val="16"/>
          <w:szCs w:val="16"/>
        </w:rPr>
        <w:t>ЧЕЛЯБИНСКАЯ ОБЛАСТЬ</w:t>
      </w:r>
    </w:p>
    <w:p w:rsidR="00DC242D" w:rsidRPr="00307ED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39731A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D73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D730C" w:rsidP="00E4076D">
            <w:fldSimple w:instr=" DOCPROPERTY  Рег.№  \* MERGEFORMAT ">
              <w:r w:rsidR="009416DA" w:rsidRPr="009416DA">
                <w:t>470-П/АДМ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9731A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9731A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39731A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Администрации Златоустовского городского округа муниципального жилищного контроля на территории Златоустовского городского округа </w:t>
            </w:r>
            <w:r w:rsidR="0039731A">
              <w:br/>
            </w:r>
            <w:r>
              <w:t>на 2026 год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31B24" w:rsidP="00DF2B41">
      <w:pPr>
        <w:widowControl w:val="0"/>
        <w:ind w:firstLine="709"/>
        <w:jc w:val="both"/>
      </w:pPr>
      <w:r>
        <w:t>В соответствии со статьей 17.1 Федерального закона от 06 октября 2003</w:t>
      </w:r>
      <w:r w:rsidR="00DF2B41">
        <w:t> г. № </w:t>
      </w:r>
      <w:r>
        <w:t xml:space="preserve">131-ФЗ «Об общих принципах организации местного самоуправления </w:t>
      </w:r>
      <w:r w:rsidR="00DF2B41">
        <w:br/>
      </w:r>
      <w:r>
        <w:t>в Российской Федерации», статьей 44 Феде</w:t>
      </w:r>
      <w:r w:rsidR="00DF2B41">
        <w:t>рального закона от 31 июля 2020 </w:t>
      </w:r>
      <w:r>
        <w:t>г. № 248-ФЗ «О государственном контроле (надзоре) и муниципальном контроле в Российской Федерации», постановлением Правительства Россий</w:t>
      </w:r>
      <w:r w:rsidR="00DF2B41">
        <w:t>ской Федерации от 25 июня 2021 г. № </w:t>
      </w:r>
      <w:r>
        <w:t xml:space="preserve">990 «Об утверждении Правил разработки </w:t>
      </w:r>
      <w:r w:rsidR="00DF2B41">
        <w:br/>
      </w:r>
      <w:r>
        <w:t>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31B24" w:rsidRDefault="00DF2B41" w:rsidP="00DF2B41">
      <w:pPr>
        <w:widowControl w:val="0"/>
        <w:ind w:firstLine="709"/>
        <w:jc w:val="both"/>
      </w:pPr>
      <w:r>
        <w:t>1. </w:t>
      </w:r>
      <w:r w:rsidR="00931B24">
        <w:t>Утвердить Программу профилактики рисков причинения вреда (ущерба) охраняемым законом ценностям при осуществлении Упр</w:t>
      </w:r>
      <w:r>
        <w:t>авлением муниципальной милиции А</w:t>
      </w:r>
      <w:r w:rsidR="00931B24">
        <w:t>дминистрации Златоустовского городского округа муниципального жилищного контроля на территории Златоустовского городского округа на 2026 год (приложение).</w:t>
      </w:r>
    </w:p>
    <w:p w:rsidR="00931B24" w:rsidRDefault="00DF2B41" w:rsidP="00931B24">
      <w:pPr>
        <w:widowControl w:val="0"/>
        <w:ind w:firstLine="709"/>
        <w:jc w:val="both"/>
      </w:pPr>
      <w:r>
        <w:t>2. Пресс-службе А</w:t>
      </w:r>
      <w:r w:rsidR="00931B24">
        <w:t>дминистрации Златоустовск</w:t>
      </w:r>
      <w:r>
        <w:t>ого городского округа (Семёнова </w:t>
      </w:r>
      <w:r w:rsidR="00931B24">
        <w:t>А.Г) разместить настоящее постановление на официальном сайте Златоустов</w:t>
      </w:r>
      <w:r>
        <w:t>ского городского округа в сети «Интернет»</w:t>
      </w:r>
      <w:r w:rsidR="00931B24">
        <w:t>.</w:t>
      </w:r>
    </w:p>
    <w:p w:rsidR="009416DA" w:rsidRDefault="00DF2B41" w:rsidP="00931B24">
      <w:pPr>
        <w:widowControl w:val="0"/>
        <w:ind w:firstLine="709"/>
        <w:jc w:val="both"/>
      </w:pPr>
      <w:r>
        <w:t>3. </w:t>
      </w:r>
      <w:r w:rsidR="00931B24">
        <w:t xml:space="preserve">Организацию и контроль </w:t>
      </w:r>
      <w:r>
        <w:t>за выполнением настоящего постановл</w:t>
      </w:r>
      <w:r w:rsidR="00931B24">
        <w:t>ения возложить 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39731A">
        <w:trPr>
          <w:trHeight w:val="1570"/>
        </w:trPr>
        <w:tc>
          <w:tcPr>
            <w:tcW w:w="4253" w:type="dxa"/>
            <w:vAlign w:val="bottom"/>
          </w:tcPr>
          <w:p w:rsidR="005866F3" w:rsidRDefault="005866F3" w:rsidP="005866F3">
            <w:r>
              <w:t xml:space="preserve">Глава </w:t>
            </w:r>
          </w:p>
          <w:p w:rsidR="00347398" w:rsidRPr="00E335AA" w:rsidRDefault="005866F3" w:rsidP="005866F3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F57B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5866F3" w:rsidP="005F57B3">
            <w:pPr>
              <w:jc w:val="right"/>
            </w:pPr>
            <w:r w:rsidRPr="005866F3">
              <w:t>О.Ю. Решетников</w:t>
            </w:r>
          </w:p>
        </w:tc>
      </w:tr>
    </w:tbl>
    <w:p w:rsidR="00931B24" w:rsidRPr="00931B24" w:rsidRDefault="00931B24" w:rsidP="00931B24">
      <w:pPr>
        <w:ind w:left="5103"/>
        <w:jc w:val="center"/>
      </w:pPr>
      <w:r w:rsidRPr="00931B24">
        <w:lastRenderedPageBreak/>
        <w:t>ПРИЛОЖЕНИЕ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>Утверждено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>постановлением Администрации</w:t>
      </w:r>
    </w:p>
    <w:p w:rsidR="00931B24" w:rsidRPr="00931B24" w:rsidRDefault="00931B24" w:rsidP="00931B24">
      <w:pPr>
        <w:ind w:left="5103"/>
        <w:jc w:val="center"/>
      </w:pPr>
      <w:r w:rsidRPr="00931B24">
        <w:t>Златоустовского городского округа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 xml:space="preserve">от </w:t>
      </w:r>
      <w:r w:rsidR="00776B14">
        <w:rPr>
          <w:lang w:eastAsia="ar-SA"/>
        </w:rPr>
        <w:t>18.12.2025 г.</w:t>
      </w:r>
      <w:r w:rsidRPr="00931B24">
        <w:rPr>
          <w:lang w:eastAsia="ar-SA"/>
        </w:rPr>
        <w:t xml:space="preserve"> № </w:t>
      </w:r>
      <w:r w:rsidR="00776B14">
        <w:rPr>
          <w:lang w:eastAsia="ar-SA"/>
        </w:rPr>
        <w:t>470-П/АДМ</w:t>
      </w:r>
      <w:bookmarkStart w:id="0" w:name="_GoBack"/>
      <w:bookmarkEnd w:id="0"/>
    </w:p>
    <w:p w:rsidR="00931B24" w:rsidRPr="00931B24" w:rsidRDefault="00931B24" w:rsidP="00931B24">
      <w:pPr>
        <w:tabs>
          <w:tab w:val="left" w:pos="5529"/>
        </w:tabs>
        <w:suppressAutoHyphens/>
        <w:ind w:left="5103"/>
        <w:jc w:val="center"/>
      </w:pPr>
    </w:p>
    <w:p w:rsidR="00931B24" w:rsidRPr="00931B24" w:rsidRDefault="00931B24" w:rsidP="00931B24">
      <w:pPr>
        <w:autoSpaceDE w:val="0"/>
        <w:autoSpaceDN w:val="0"/>
        <w:adjustRightInd w:val="0"/>
        <w:ind w:firstLine="720"/>
        <w:jc w:val="center"/>
        <w:rPr>
          <w:rFonts w:eastAsiaTheme="minorHAnsi"/>
          <w:lang w:eastAsia="en-US"/>
        </w:rPr>
      </w:pPr>
      <w:r w:rsidRPr="00931B24">
        <w:rPr>
          <w:rFonts w:eastAsiaTheme="minorHAnsi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957178">
        <w:rPr>
          <w:rFonts w:eastAsiaTheme="minorHAnsi"/>
          <w:lang w:eastAsia="en-US"/>
        </w:rPr>
        <w:br/>
      </w:r>
      <w:r w:rsidRPr="00931B24">
        <w:rPr>
          <w:rFonts w:eastAsiaTheme="minorHAnsi"/>
          <w:lang w:eastAsia="en-US"/>
        </w:rPr>
        <w:t xml:space="preserve">Управлением муниципальной милиции </w:t>
      </w:r>
      <w:r w:rsidR="00957178">
        <w:rPr>
          <w:rFonts w:eastAsiaTheme="minorHAnsi"/>
          <w:lang w:eastAsia="en-US"/>
        </w:rPr>
        <w:t>А</w:t>
      </w:r>
      <w:r w:rsidRPr="00931B24">
        <w:rPr>
          <w:rFonts w:eastAsiaTheme="minorHAnsi"/>
          <w:lang w:eastAsia="en-US"/>
        </w:rPr>
        <w:t>дминистрации Златоустовского городского округа муниципального жилищного контроля на территории Златоустовского городского округа на 2026 год</w:t>
      </w:r>
    </w:p>
    <w:p w:rsidR="00931B24" w:rsidRPr="00931B24" w:rsidRDefault="00931B24" w:rsidP="00931B24">
      <w:pPr>
        <w:autoSpaceDE w:val="0"/>
        <w:autoSpaceDN w:val="0"/>
        <w:adjustRightInd w:val="0"/>
        <w:ind w:firstLine="709"/>
        <w:jc w:val="both"/>
      </w:pPr>
    </w:p>
    <w:p w:rsidR="00931B24" w:rsidRPr="00931B24" w:rsidRDefault="00931B24" w:rsidP="00931B24">
      <w:pPr>
        <w:autoSpaceDE w:val="0"/>
        <w:autoSpaceDN w:val="0"/>
        <w:adjustRightInd w:val="0"/>
        <w:ind w:firstLine="709"/>
        <w:jc w:val="both"/>
      </w:pPr>
      <w:r w:rsidRPr="00931B24">
        <w:t>Настоящая программа разработана в соответствии со</w:t>
      </w:r>
      <w:r w:rsidRPr="00931B24">
        <w:rPr>
          <w:color w:val="000000" w:themeColor="text1"/>
        </w:rPr>
        <w:t>статьей 44</w:t>
      </w:r>
      <w:r w:rsidRPr="00931B24">
        <w:t xml:space="preserve"> Феде</w:t>
      </w:r>
      <w:r w:rsidR="00957178">
        <w:t>рального закона от 31 июля 2020 г. № </w:t>
      </w:r>
      <w:r w:rsidRPr="00931B24">
        <w:t xml:space="preserve">248-ФЗ «О государственном контроле (надзоре) и муниципальном контроле в Российской Федерации», </w:t>
      </w:r>
      <w:r w:rsidR="00957178">
        <w:rPr>
          <w:color w:val="000000" w:themeColor="text1"/>
        </w:rPr>
        <w:t>п</w:t>
      </w:r>
      <w:r w:rsidRPr="00931B24">
        <w:rPr>
          <w:color w:val="000000" w:themeColor="text1"/>
        </w:rPr>
        <w:t>остановлением</w:t>
      </w:r>
      <w:r w:rsidRPr="00931B24">
        <w:t xml:space="preserve"> Правительства Россий</w:t>
      </w:r>
      <w:r w:rsidR="00957178">
        <w:t>ской Федерации от 25 июня 2021 </w:t>
      </w:r>
      <w:r w:rsidRPr="00931B24">
        <w:t xml:space="preserve">г. </w:t>
      </w:r>
      <w:r w:rsidR="00957178">
        <w:br/>
        <w:t>№ </w:t>
      </w:r>
      <w:r w:rsidRPr="00931B24"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Златоустовского городского округа.</w:t>
      </w:r>
    </w:p>
    <w:p w:rsidR="00931B24" w:rsidRPr="00931B24" w:rsidRDefault="00931B24" w:rsidP="00931B24">
      <w:pPr>
        <w:autoSpaceDE w:val="0"/>
        <w:autoSpaceDN w:val="0"/>
        <w:adjustRightInd w:val="0"/>
        <w:rPr>
          <w:i/>
          <w:iCs/>
          <w:color w:val="000000"/>
        </w:rPr>
      </w:pPr>
    </w:p>
    <w:p w:rsidR="00931B24" w:rsidRDefault="00957178" w:rsidP="00931B24">
      <w:pPr>
        <w:autoSpaceDE w:val="0"/>
        <w:autoSpaceDN w:val="0"/>
        <w:adjustRightInd w:val="0"/>
        <w:jc w:val="center"/>
        <w:rPr>
          <w:color w:val="000000"/>
        </w:rPr>
      </w:pPr>
      <w:r w:rsidRPr="00931B24">
        <w:rPr>
          <w:color w:val="000000"/>
        </w:rPr>
        <w:t>Паспорт</w:t>
      </w:r>
    </w:p>
    <w:p w:rsidR="00957178" w:rsidRPr="00931B24" w:rsidRDefault="00957178" w:rsidP="00931B24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1"/>
        <w:gridCol w:w="6258"/>
      </w:tblGrid>
      <w:tr w:rsidR="00931B24" w:rsidRPr="00931B24" w:rsidTr="00957178">
        <w:trPr>
          <w:trHeight w:val="247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 xml:space="preserve">Программа профилактики рисков причинения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вреда (ущерба) охраняемым законом ценностям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>при осуществлении Упр</w:t>
            </w:r>
            <w:r w:rsidR="00957178">
              <w:rPr>
                <w:color w:val="000000"/>
                <w:sz w:val="24"/>
                <w:szCs w:val="24"/>
              </w:rPr>
              <w:t>авлением муниципальной милиции А</w:t>
            </w:r>
            <w:r w:rsidRPr="00931B24">
              <w:rPr>
                <w:color w:val="000000"/>
                <w:sz w:val="24"/>
                <w:szCs w:val="24"/>
              </w:rPr>
              <w:t xml:space="preserve">дминистрации Златоустовского городского округа муниципального жилищного контроля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на территории Златоустовского городского округа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на 2026 год </w:t>
            </w:r>
            <w:r w:rsidR="00957178">
              <w:rPr>
                <w:color w:val="000000"/>
                <w:sz w:val="24"/>
                <w:szCs w:val="24"/>
              </w:rPr>
              <w:t>(далее -</w:t>
            </w:r>
            <w:r w:rsidRPr="00931B24">
              <w:rPr>
                <w:color w:val="000000"/>
                <w:sz w:val="24"/>
                <w:szCs w:val="24"/>
              </w:rPr>
              <w:t xml:space="preserve"> Программа профилактики)</w:t>
            </w:r>
          </w:p>
        </w:tc>
      </w:tr>
      <w:tr w:rsidR="00931B24" w:rsidRPr="00931B24" w:rsidTr="00957178">
        <w:trPr>
          <w:trHeight w:val="273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jc w:val="both"/>
              <w:rPr>
                <w:sz w:val="24"/>
                <w:szCs w:val="24"/>
              </w:rPr>
            </w:pPr>
            <w:r w:rsidRPr="00931B24">
              <w:rPr>
                <w:sz w:val="24"/>
                <w:szCs w:val="24"/>
              </w:rPr>
              <w:t>Федеральный закон от 31.07.2020</w:t>
            </w:r>
            <w:r w:rsidR="00957178">
              <w:rPr>
                <w:sz w:val="24"/>
                <w:szCs w:val="24"/>
              </w:rPr>
              <w:t> г.</w:t>
            </w:r>
            <w:r w:rsidRPr="00931B24">
              <w:rPr>
                <w:sz w:val="24"/>
                <w:szCs w:val="24"/>
              </w:rPr>
              <w:t xml:space="preserve"> №</w:t>
            </w:r>
            <w:r w:rsidR="00957178">
              <w:rPr>
                <w:sz w:val="24"/>
                <w:szCs w:val="24"/>
              </w:rPr>
              <w:t> </w:t>
            </w:r>
            <w:r w:rsidRPr="00931B24">
              <w:rPr>
                <w:sz w:val="24"/>
                <w:szCs w:val="24"/>
              </w:rPr>
              <w:t xml:space="preserve">248-ФЗ </w:t>
            </w:r>
            <w:r w:rsidR="00957178">
              <w:rPr>
                <w:sz w:val="24"/>
                <w:szCs w:val="24"/>
              </w:rPr>
              <w:br/>
            </w:r>
            <w:r w:rsidRPr="00931B24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 (дал</w:t>
            </w:r>
            <w:r w:rsidR="00957178">
              <w:rPr>
                <w:sz w:val="24"/>
                <w:szCs w:val="24"/>
              </w:rPr>
              <w:t>ее -</w:t>
            </w:r>
            <w:r w:rsidRPr="00931B24">
              <w:rPr>
                <w:sz w:val="24"/>
                <w:szCs w:val="24"/>
              </w:rPr>
              <w:t xml:space="preserve"> Федеральный закон №</w:t>
            </w:r>
            <w:r w:rsidR="00957178">
              <w:rPr>
                <w:sz w:val="24"/>
                <w:szCs w:val="24"/>
              </w:rPr>
              <w:t> </w:t>
            </w:r>
            <w:r w:rsidRPr="00931B24">
              <w:rPr>
                <w:sz w:val="24"/>
                <w:szCs w:val="24"/>
              </w:rPr>
              <w:t>248-ФЗ);</w:t>
            </w:r>
          </w:p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 xml:space="preserve">оссийской </w:t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>едерации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от 25.06.2021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> г. № </w:t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931B24" w:rsidRPr="00931B24" w:rsidTr="00957178">
        <w:trPr>
          <w:trHeight w:val="109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iCs/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  <w:r w:rsidRPr="00931B24">
              <w:rPr>
                <w:color w:val="000000"/>
                <w:sz w:val="24"/>
                <w:szCs w:val="24"/>
              </w:rPr>
              <w:t xml:space="preserve"> (</w:t>
            </w:r>
            <w:r w:rsidRPr="00931B24">
              <w:rPr>
                <w:iCs/>
                <w:color w:val="000000"/>
                <w:sz w:val="24"/>
                <w:szCs w:val="24"/>
              </w:rPr>
              <w:t>Управление муниципальной милиции Администрации Златоустовского городского округа)</w:t>
            </w:r>
          </w:p>
        </w:tc>
      </w:tr>
      <w:tr w:rsidR="00931B24" w:rsidRPr="00931B24" w:rsidTr="00957178">
        <w:trPr>
          <w:trHeight w:val="523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31B24" w:rsidRPr="00931B24" w:rsidRDefault="00931B24" w:rsidP="001B35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931B24" w:rsidRPr="00931B24" w:rsidTr="00957178">
        <w:trPr>
          <w:trHeight w:val="247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</w:tcPr>
          <w:p w:rsidR="00931B24" w:rsidRPr="00931B24" w:rsidRDefault="00931B24" w:rsidP="001B35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931B24" w:rsidRPr="00931B24" w:rsidTr="00957178">
        <w:trPr>
          <w:trHeight w:val="274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931B24" w:rsidRPr="00931B24" w:rsidRDefault="00931B24" w:rsidP="00A80D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1B35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931B2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931B24" w:rsidRDefault="00931B24" w:rsidP="001B3552">
      <w:pPr>
        <w:jc w:val="center"/>
      </w:pPr>
      <w:r>
        <w:lastRenderedPageBreak/>
        <w:t>Раздел I. Анализ и оценка состояния под</w:t>
      </w:r>
      <w:r w:rsidR="001B3552">
        <w:t>контрольной сферы</w:t>
      </w:r>
    </w:p>
    <w:p w:rsidR="00931B24" w:rsidRDefault="00931B24" w:rsidP="00931B24">
      <w:pPr>
        <w:jc w:val="both"/>
      </w:pPr>
    </w:p>
    <w:p w:rsidR="001B3552" w:rsidRDefault="001B3552" w:rsidP="001B3552">
      <w:pPr>
        <w:ind w:firstLine="709"/>
        <w:jc w:val="both"/>
      </w:pPr>
      <w:r>
        <w:t>1. </w:t>
      </w:r>
      <w:r w:rsidR="00931B24">
        <w:t>Вид осуществля</w:t>
      </w:r>
      <w:r>
        <w:t>емого муниципального контроля - </w:t>
      </w:r>
      <w:r w:rsidR="00931B24">
        <w:t>муниципальный жилищный контроль.</w:t>
      </w:r>
    </w:p>
    <w:p w:rsidR="001B3552" w:rsidRDefault="001B3552" w:rsidP="001B3552">
      <w:pPr>
        <w:ind w:firstLine="709"/>
        <w:jc w:val="both"/>
      </w:pPr>
      <w:r>
        <w:t>2. </w:t>
      </w:r>
      <w:r w:rsidR="00931B24">
        <w:t>Обзор вида муниципального жилищного контроля:</w:t>
      </w:r>
    </w:p>
    <w:p w:rsidR="001B3552" w:rsidRDefault="001B3552" w:rsidP="001B3552">
      <w:pPr>
        <w:ind w:firstLine="709"/>
        <w:jc w:val="both"/>
      </w:pPr>
      <w:r>
        <w:t>1) </w:t>
      </w:r>
      <w:r w:rsidR="00931B24">
        <w:t>объекты муниципального жилищного контроля:</w:t>
      </w:r>
    </w:p>
    <w:p w:rsidR="001B3552" w:rsidRDefault="00931B24" w:rsidP="001B3552">
      <w:pPr>
        <w:ind w:firstLine="709"/>
        <w:jc w:val="both"/>
      </w:pPr>
      <w:r>
        <w:t xml:space="preserve">деятельность, действия (бездействие) лиц, осуществляющих управление многоквартирными домами, по выполнению услуг и работ по содержанию </w:t>
      </w:r>
      <w:r w:rsidR="001B3552">
        <w:br/>
      </w:r>
      <w:r>
        <w:t xml:space="preserve">и ремонту общего имущества в многоквартирном доме в соответствии </w:t>
      </w:r>
      <w:r w:rsidR="001B3552">
        <w:br/>
      </w:r>
      <w:r>
        <w:t>с требованиями законодательства Российской Федерации;</w:t>
      </w:r>
    </w:p>
    <w:p w:rsidR="001B3552" w:rsidRDefault="00931B24" w:rsidP="001B3552">
      <w:pPr>
        <w:ind w:firstLine="709"/>
        <w:jc w:val="both"/>
      </w:pPr>
      <w: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1B3552" w:rsidRDefault="00931B24" w:rsidP="001B3552">
      <w:pPr>
        <w:ind w:firstLine="709"/>
        <w:jc w:val="both"/>
      </w:pPr>
      <w:r>
        <w:t>жилые помещения, общее имущество в многоквартирном доме, относящееся к муниципальному жилому фонду, к которым предъя</w:t>
      </w:r>
      <w:r w:rsidR="001B3552">
        <w:t>вляются обязательные требования;</w:t>
      </w:r>
    </w:p>
    <w:p w:rsidR="001B3552" w:rsidRDefault="001B3552" w:rsidP="001B3552">
      <w:pPr>
        <w:ind w:firstLine="709"/>
        <w:jc w:val="both"/>
      </w:pPr>
      <w:r>
        <w:t>2) </w:t>
      </w:r>
      <w:r w:rsidR="00931B24">
        <w:t>обязательные требования, оценка соблюдения которых является предметом муниципального жилищного контроля:</w:t>
      </w:r>
    </w:p>
    <w:p w:rsidR="001B3552" w:rsidRDefault="00931B24" w:rsidP="001B3552">
      <w:pPr>
        <w:ind w:firstLine="709"/>
        <w:jc w:val="both"/>
      </w:pPr>
      <w: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</w:t>
      </w:r>
      <w:r w:rsidR="001B3552">
        <w:br/>
      </w:r>
      <w:r>
        <w:t>в отношении муниципального жилищного фонда:</w:t>
      </w:r>
    </w:p>
    <w:p w:rsidR="001B3552" w:rsidRDefault="00931B24" w:rsidP="001B3552">
      <w:pPr>
        <w:ind w:firstLine="709"/>
        <w:jc w:val="both"/>
      </w:pPr>
      <w:r>
        <w:t xml:space="preserve">требований к использованию и сохранности жилищного фонда, </w:t>
      </w:r>
      <w:r w:rsidR="001B3552">
        <w:br/>
      </w:r>
      <w:r>
        <w:t xml:space="preserve">в том числе требований к жилым помещениям, их использованию </w:t>
      </w:r>
      <w:r w:rsidR="001B3552">
        <w:br/>
      </w:r>
      <w:r>
        <w:t xml:space="preserve">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</w:t>
      </w:r>
      <w:r w:rsidR="001B3552">
        <w:br/>
      </w:r>
      <w:r>
        <w:t xml:space="preserve">в жилое в многоквартирном доме, порядку осуществления перепланировки </w:t>
      </w:r>
      <w:r w:rsidR="001B3552">
        <w:br/>
      </w:r>
      <w:r>
        <w:t>и (или) переустройства помещений в многоквартирном доме;</w:t>
      </w:r>
    </w:p>
    <w:p w:rsidR="001B3552" w:rsidRDefault="00931B24" w:rsidP="001B3552">
      <w:pPr>
        <w:ind w:firstLine="709"/>
        <w:jc w:val="both"/>
      </w:pPr>
      <w:r>
        <w:t>требований к формированию фондов капитального ремонта;</w:t>
      </w:r>
    </w:p>
    <w:p w:rsidR="001B3552" w:rsidRDefault="00931B24" w:rsidP="001B3552">
      <w:pPr>
        <w:ind w:firstLine="709"/>
        <w:jc w:val="both"/>
      </w:pPr>
      <w: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B3552" w:rsidRDefault="00931B24" w:rsidP="001B3552">
      <w:pPr>
        <w:ind w:firstLine="709"/>
        <w:jc w:val="both"/>
      </w:pPr>
      <w:r>
        <w:t xml:space="preserve">требований к предоставлению коммунальных услуг собственникам </w:t>
      </w:r>
      <w:r w:rsidR="001B3552">
        <w:br/>
      </w:r>
      <w:r>
        <w:t>и пользователям помещений в многоквартирных домах и жилых домов;</w:t>
      </w:r>
    </w:p>
    <w:p w:rsidR="001B3552" w:rsidRDefault="00931B24" w:rsidP="006E4D5A">
      <w:pPr>
        <w:ind w:firstLine="709"/>
        <w:jc w:val="both"/>
      </w:pPr>
      <w:r>
        <w:t xml:space="preserve">правил изменения размера платы за содержание жилого помещения </w:t>
      </w:r>
      <w:r w:rsidR="001B3552">
        <w:br/>
      </w:r>
      <w:r>
        <w:t xml:space="preserve">в случае оказания услуг и выполнения работ по управлению, содержанию </w:t>
      </w:r>
      <w:r w:rsidR="006E4D5A">
        <w:br/>
      </w:r>
      <w: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B3552" w:rsidRDefault="00931B24" w:rsidP="001B3552">
      <w:pPr>
        <w:ind w:firstLine="709"/>
        <w:jc w:val="both"/>
      </w:pPr>
      <w: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B3552" w:rsidRDefault="00931B24" w:rsidP="001B3552">
      <w:pPr>
        <w:ind w:firstLine="709"/>
        <w:jc w:val="both"/>
      </w:pPr>
      <w:r>
        <w:t xml:space="preserve">правил предоставления, приостановки и ограничения предоставления коммунальных услуг собственникам и пользователям помещений </w:t>
      </w:r>
      <w:r w:rsidR="001B3552">
        <w:br/>
      </w:r>
      <w:r>
        <w:t>в многоквартирных домах и жилых домов;</w:t>
      </w:r>
    </w:p>
    <w:p w:rsidR="001B3552" w:rsidRDefault="00931B24" w:rsidP="001B3552">
      <w:pPr>
        <w:ind w:firstLine="709"/>
        <w:jc w:val="both"/>
      </w:pPr>
      <w:r>
        <w:lastRenderedPageBreak/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B3552" w:rsidRDefault="00931B24" w:rsidP="001B3552">
      <w:pPr>
        <w:ind w:firstLine="709"/>
        <w:jc w:val="both"/>
      </w:pPr>
      <w: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1B3552" w:rsidRDefault="00931B24" w:rsidP="001B3552">
      <w:pPr>
        <w:ind w:firstLine="709"/>
        <w:jc w:val="both"/>
      </w:pPr>
      <w:r>
        <w:t xml:space="preserve">требований к обеспечению доступности для инвалидов помещений </w:t>
      </w:r>
      <w:r w:rsidR="001B3552">
        <w:br/>
      </w:r>
      <w:r>
        <w:t>в многоквартирных домах;</w:t>
      </w:r>
    </w:p>
    <w:p w:rsidR="001B3552" w:rsidRDefault="00931B24" w:rsidP="001B3552">
      <w:pPr>
        <w:ind w:firstLine="709"/>
        <w:jc w:val="both"/>
      </w:pPr>
      <w:r>
        <w:t>требований к предоставлению жилых помещений в наемных домах социального использования;</w:t>
      </w:r>
    </w:p>
    <w:p w:rsidR="001B3552" w:rsidRDefault="00931B24" w:rsidP="001B3552">
      <w:pPr>
        <w:ind w:firstLine="709"/>
        <w:jc w:val="both"/>
      </w:pPr>
      <w:r>
        <w:t xml:space="preserve">требований к безопасной эксплуатации и техническому обслуживанию внутридомового и (или) внутриквартирного газового оборудования, </w:t>
      </w:r>
      <w:r w:rsidR="001B3552">
        <w:br/>
      </w:r>
      <w:r>
        <w:t xml:space="preserve">а также требований к содержанию относящихся к общему имуществу </w:t>
      </w:r>
      <w:r w:rsidR="001B3552">
        <w:br/>
      </w:r>
      <w:r>
        <w:t>в многоквартирном доме в</w:t>
      </w:r>
      <w:r w:rsidR="001B3552">
        <w:t>ентиляционных и дымовых каналов;</w:t>
      </w:r>
    </w:p>
    <w:p w:rsidR="001B3552" w:rsidRDefault="001B3552" w:rsidP="001B3552">
      <w:pPr>
        <w:ind w:firstLine="709"/>
        <w:jc w:val="both"/>
      </w:pPr>
      <w:r>
        <w:t>3) </w:t>
      </w:r>
      <w:r w:rsidR="00931B24">
        <w:t xml:space="preserve">данные о проведенных мероприятиях по контролю, мероприятиях </w:t>
      </w:r>
      <w:r>
        <w:br/>
      </w:r>
      <w:r w:rsidR="00931B24">
        <w:t xml:space="preserve">по профилактике нарушений и их результатах. </w:t>
      </w:r>
    </w:p>
    <w:p w:rsidR="001B3552" w:rsidRDefault="00931B24" w:rsidP="001B3552">
      <w:pPr>
        <w:ind w:firstLine="709"/>
        <w:jc w:val="both"/>
      </w:pPr>
      <w:r>
        <w:t xml:space="preserve">Муниципальный жилищный контроль осуществляется Управлением муниципальной милиции </w:t>
      </w:r>
      <w:r w:rsidR="005C19EC">
        <w:t>А</w:t>
      </w:r>
      <w:r>
        <w:t>дминистрации Златоустовского городского округа.</w:t>
      </w:r>
    </w:p>
    <w:p w:rsidR="001B3552" w:rsidRDefault="00931B24" w:rsidP="001B3552">
      <w:pPr>
        <w:ind w:firstLine="709"/>
        <w:jc w:val="both"/>
      </w:pPr>
      <w:r>
        <w:t xml:space="preserve">В 2025 году в отношении контролируемых лиц объявлено </w:t>
      </w:r>
      <w:r w:rsidR="001B3552">
        <w:br/>
      </w:r>
      <w:r>
        <w:t>24 предостережения о недопустимости нарушения обязательных требований (на момент утверждения настоящей Программы профилактики).</w:t>
      </w:r>
    </w:p>
    <w:p w:rsidR="001B3552" w:rsidRDefault="00931B24" w:rsidP="001B3552">
      <w:pPr>
        <w:ind w:firstLine="709"/>
        <w:jc w:val="both"/>
      </w:pPr>
      <w:r>
        <w:t xml:space="preserve">В 2024 году в отношении контролируемых лиц объявлено </w:t>
      </w:r>
      <w:r w:rsidR="001B3552">
        <w:br/>
      </w:r>
      <w:r>
        <w:t>90 предостережений о недопустимости нарушения обязательных требований (на момент утверждения настоящей Программы профилактики).</w:t>
      </w:r>
    </w:p>
    <w:p w:rsidR="001B3552" w:rsidRDefault="00931B24" w:rsidP="001B3552">
      <w:pPr>
        <w:ind w:firstLine="709"/>
        <w:jc w:val="both"/>
      </w:pPr>
      <w:r>
        <w:t xml:space="preserve">В 2023 году в отношении контролируемых лиц объявлено </w:t>
      </w:r>
      <w:r w:rsidR="001B3552">
        <w:br/>
      </w:r>
      <w:r>
        <w:t>101 предостережение о недопустимости нарушения обязательных требований.</w:t>
      </w:r>
    </w:p>
    <w:p w:rsidR="001B3552" w:rsidRDefault="00931B24" w:rsidP="001B3552">
      <w:pPr>
        <w:ind w:firstLine="709"/>
        <w:jc w:val="both"/>
      </w:pPr>
      <w:r>
        <w:t>За 2022 год проведено 3 внеплановых выездных проверки, результаты 1 из них признаны недействительными в связи с грубым нарушением требований к организации и осуществлению муниципального контроля, установленным пунктом 1 части 2 статьи 91 Федеральн</w:t>
      </w:r>
      <w:r w:rsidR="001B3552">
        <w:t>ого закона от 31 июля 2020 г. № 248-ФЗ «</w:t>
      </w:r>
      <w:r>
        <w:t xml:space="preserve">О государственном контроле (надзоре) и муниципальном контроле </w:t>
      </w:r>
      <w:r w:rsidR="001B3552">
        <w:br/>
        <w:t>в Российской Федерации»</w:t>
      </w:r>
      <w:r>
        <w:t xml:space="preserve"> на основании положений постановления Правительства Рос</w:t>
      </w:r>
      <w:r w:rsidR="001B3552">
        <w:t>сийской Федерации от 10.03.2022 г. № </w:t>
      </w:r>
      <w:r>
        <w:t xml:space="preserve">336 «Об особенностях организации и осуществления государственного контроля (надзора), муниципального контроля». Кроме того, организовано проведение </w:t>
      </w:r>
      <w:r w:rsidR="001B3552">
        <w:br/>
      </w:r>
      <w:r>
        <w:t xml:space="preserve">2 инспекционных визитов, решениями прокуратуры Челябинской области проведение данных внеплановых контрольных мероприятий не согласовано. </w:t>
      </w:r>
    </w:p>
    <w:p w:rsidR="001B3552" w:rsidRDefault="00931B24" w:rsidP="001B3552">
      <w:pPr>
        <w:ind w:firstLine="709"/>
        <w:jc w:val="both"/>
      </w:pPr>
      <w:r>
        <w:t>За 2021 год в рамках муниципального жилищного контроля проведена</w:t>
      </w:r>
      <w:r w:rsidR="001B3552">
        <w:br/>
      </w:r>
      <w:r>
        <w:t>1 плановая и 57 внеплановых выездных и документарных проверок.</w:t>
      </w:r>
    </w:p>
    <w:p w:rsidR="001B3552" w:rsidRDefault="00931B24" w:rsidP="001B3552">
      <w:pPr>
        <w:ind w:firstLine="709"/>
        <w:jc w:val="both"/>
      </w:pPr>
      <w:r>
        <w:t xml:space="preserve">В 2020 году проведено 0 плановых проверок, 20 внеплановых выездных </w:t>
      </w:r>
      <w:r w:rsidR="001B3552">
        <w:br/>
      </w:r>
      <w:r>
        <w:t>и документарных проверок.</w:t>
      </w:r>
    </w:p>
    <w:p w:rsidR="001B3552" w:rsidRDefault="00931B24" w:rsidP="001B3552">
      <w:pPr>
        <w:ind w:firstLine="709"/>
        <w:jc w:val="both"/>
      </w:pPr>
      <w:r>
        <w:t>Профилактическое сопровождение контролируемых лиц было направлено на:</w:t>
      </w:r>
    </w:p>
    <w:p w:rsidR="001B3552" w:rsidRDefault="00931B24" w:rsidP="001B3552">
      <w:pPr>
        <w:ind w:firstLine="709"/>
        <w:jc w:val="both"/>
      </w:pPr>
      <w: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1B3552" w:rsidRDefault="00931B24" w:rsidP="001B3552">
      <w:pPr>
        <w:ind w:firstLine="709"/>
        <w:jc w:val="both"/>
      </w:pPr>
      <w:r>
        <w:t>информирование и консультирование по вопросам соблюдения обязательных требований;</w:t>
      </w:r>
    </w:p>
    <w:p w:rsidR="001B3552" w:rsidRDefault="00931B24" w:rsidP="001B3552">
      <w:pPr>
        <w:ind w:firstLine="709"/>
        <w:jc w:val="both"/>
      </w:pPr>
      <w:r>
        <w:lastRenderedPageBreak/>
        <w:t>объявление контролируемым лицам предостережения о недопустимости нарушения обязательных требований</w:t>
      </w:r>
      <w:r w:rsidR="001B3552">
        <w:t>.</w:t>
      </w:r>
    </w:p>
    <w:p w:rsidR="001B3552" w:rsidRDefault="00931B24" w:rsidP="001B3552">
      <w:pPr>
        <w:ind w:firstLine="709"/>
        <w:jc w:val="both"/>
      </w:pPr>
      <w:r>
        <w:t>В</w:t>
      </w:r>
      <w:r w:rsidR="001B3552">
        <w:t xml:space="preserve"> соответствии с постановлением А</w:t>
      </w:r>
      <w:r>
        <w:t xml:space="preserve">дминистрации Златоустовского городского округа от 07.11.2024 г. № 540-П/АДМ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5C19EC">
        <w:t>А</w:t>
      </w:r>
      <w:r>
        <w:t xml:space="preserve">дминистрации Златоустовского городского округа муниципального жилищного контроля на территории Златоустовского городского округа </w:t>
      </w:r>
      <w:r w:rsidR="001B3552">
        <w:br/>
      </w:r>
      <w:r>
        <w:t>на 2025 год» в рамках муниципально</w:t>
      </w:r>
      <w:r w:rsidR="001B3552">
        <w:t>го жилищного контроля</w:t>
      </w:r>
      <w:r>
        <w:t xml:space="preserve"> в 2025 году были проведены следующие мероприятия по профилактике нарушений обязательных требований:</w:t>
      </w:r>
    </w:p>
    <w:p w:rsidR="001B3552" w:rsidRDefault="00931B24" w:rsidP="001B3552">
      <w:pPr>
        <w:ind w:firstLine="709"/>
        <w:jc w:val="both"/>
      </w:pPr>
      <w: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актов;</w:t>
      </w:r>
    </w:p>
    <w:p w:rsidR="001B3552" w:rsidRDefault="00931B24" w:rsidP="001B3552">
      <w:pPr>
        <w:ind w:firstLine="709"/>
        <w:jc w:val="both"/>
      </w:pPr>
      <w:r>
        <w:t>при осуществлении муниципального жилищного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 в средствах массовой информации посредством участия должностных лиц, осуществляющих муниципальный жилищный контроль, в репортажах на Златоустовском телевидении (телеканал «Злат-ТВ»);</w:t>
      </w:r>
    </w:p>
    <w:p w:rsidR="001B3552" w:rsidRDefault="00931B24" w:rsidP="001B3552">
      <w:pPr>
        <w:ind w:firstLine="709"/>
        <w:jc w:val="both"/>
      </w:pPr>
      <w:r>
        <w:t xml:space="preserve">в отношении контролируемых </w:t>
      </w:r>
      <w:r w:rsidR="001B3552">
        <w:t>лиц объявлено 24 предостережения</w:t>
      </w:r>
      <w:r w:rsidR="001B3552">
        <w:br/>
      </w:r>
      <w:r>
        <w:t>о недопустимости нарушения обязательных требований</w:t>
      </w:r>
      <w:r w:rsidR="001B3552">
        <w:t>.</w:t>
      </w:r>
    </w:p>
    <w:p w:rsidR="001B3552" w:rsidRDefault="00931B24" w:rsidP="001B3552">
      <w:pPr>
        <w:ind w:firstLine="709"/>
        <w:jc w:val="both"/>
      </w:pPr>
      <w:r>
        <w:t>В 2025 году профилактические визиты в рамках муниципального жил</w:t>
      </w:r>
      <w:r w:rsidR="001B3552">
        <w:t>ищного контроля не проводились;</w:t>
      </w:r>
    </w:p>
    <w:p w:rsidR="001B3552" w:rsidRDefault="001B3552" w:rsidP="001B3552">
      <w:pPr>
        <w:ind w:firstLine="709"/>
        <w:jc w:val="both"/>
      </w:pPr>
      <w:r>
        <w:t>4) </w:t>
      </w:r>
      <w:r w:rsidR="00931B24">
        <w:t>анализ и оценка рисков нарушения обязательных требований.</w:t>
      </w:r>
    </w:p>
    <w:p w:rsidR="001B3552" w:rsidRDefault="00931B24" w:rsidP="001B3552">
      <w:pPr>
        <w:ind w:firstLine="709"/>
        <w:jc w:val="both"/>
      </w:pPr>
      <w:r>
        <w:t>По результатам контрольных мероприятий, проведенных в текущем периоде, наиболее значимыми проблемами являются:</w:t>
      </w:r>
    </w:p>
    <w:p w:rsidR="001B3552" w:rsidRDefault="00931B24" w:rsidP="001B3552">
      <w:pPr>
        <w:ind w:firstLine="709"/>
        <w:jc w:val="both"/>
      </w:pPr>
      <w:r>
        <w:t>неудовлетворительное состояние многоквартирных домов, ненадлежащее содержание и текущий ремонт общего имущества, обследования;</w:t>
      </w:r>
    </w:p>
    <w:p w:rsidR="001B3552" w:rsidRDefault="00931B24" w:rsidP="001B3552">
      <w:pPr>
        <w:ind w:firstLine="709"/>
        <w:jc w:val="both"/>
      </w:pPr>
      <w:r>
        <w:t>низкое качество предоставляемых коммунальных услуг.</w:t>
      </w:r>
    </w:p>
    <w:p w:rsidR="001B3552" w:rsidRDefault="00931B24" w:rsidP="001B3552">
      <w:pPr>
        <w:ind w:firstLine="709"/>
        <w:jc w:val="both"/>
      </w:pPr>
      <w:r>
        <w:t>В 2025 году были проведены следующие профилактические мероприятия:</w:t>
      </w:r>
    </w:p>
    <w:p w:rsidR="001B3552" w:rsidRDefault="001B3552" w:rsidP="001B3552">
      <w:pPr>
        <w:ind w:firstLine="709"/>
        <w:jc w:val="both"/>
      </w:pPr>
      <w:r>
        <w:t>- </w:t>
      </w:r>
      <w:r w:rsidR="00931B24">
        <w:t xml:space="preserve">актуализирована информация на официальном сайте в соответствии </w:t>
      </w:r>
      <w:r>
        <w:br/>
      </w:r>
      <w:r w:rsidR="00931B24">
        <w:t>со статьей 46 Федерального закона № 248-ФЗ;</w:t>
      </w:r>
    </w:p>
    <w:p w:rsidR="001B3552" w:rsidRDefault="001B3552" w:rsidP="001B3552">
      <w:pPr>
        <w:ind w:firstLine="709"/>
        <w:jc w:val="both"/>
      </w:pPr>
      <w:r>
        <w:t>- объявлено 24 предостережения</w:t>
      </w:r>
      <w:r w:rsidR="00931B24">
        <w:t xml:space="preserve"> о недопустимости нарушения обязательных требований. </w:t>
      </w:r>
    </w:p>
    <w:p w:rsidR="00931B24" w:rsidRDefault="00931B24" w:rsidP="001B3552">
      <w:pPr>
        <w:ind w:firstLine="709"/>
        <w:jc w:val="both"/>
      </w:pPr>
      <w:r>
        <w:t xml:space="preserve">Отмечена положительная реакция контролируемых лиц </w:t>
      </w:r>
      <w:r w:rsidR="001B3552">
        <w:br/>
      </w:r>
      <w:r>
        <w:t xml:space="preserve">на консультирования как способ информирования в форме беседы. </w:t>
      </w:r>
      <w:r w:rsidR="001B3552">
        <w:br/>
      </w:r>
      <w:r>
        <w:t xml:space="preserve">Также был отмечен положительный эффект на выданные предостережения </w:t>
      </w:r>
      <w:r w:rsidR="001B3552">
        <w:br/>
      </w:r>
      <w:r>
        <w:t>и своевременное устранение замечаний после них.</w:t>
      </w:r>
    </w:p>
    <w:p w:rsidR="00931B24" w:rsidRDefault="00931B24" w:rsidP="00931B24">
      <w:pPr>
        <w:jc w:val="both"/>
      </w:pPr>
    </w:p>
    <w:p w:rsidR="00931B24" w:rsidRDefault="00931B24" w:rsidP="001B3552">
      <w:pPr>
        <w:jc w:val="center"/>
      </w:pPr>
      <w:r>
        <w:t>Раздел II. Цели и задачи реализации программы профилактики</w:t>
      </w:r>
    </w:p>
    <w:p w:rsidR="00931B24" w:rsidRDefault="00931B24" w:rsidP="00931B24">
      <w:pPr>
        <w:jc w:val="both"/>
      </w:pPr>
    </w:p>
    <w:p w:rsidR="001B3552" w:rsidRDefault="001B3552" w:rsidP="001B3552">
      <w:pPr>
        <w:ind w:firstLine="709"/>
        <w:jc w:val="both"/>
      </w:pPr>
      <w:r>
        <w:t>1. </w:t>
      </w:r>
      <w:r w:rsidR="00931B24">
        <w:t>Основными целями Программы профилактики являются:</w:t>
      </w:r>
    </w:p>
    <w:p w:rsidR="001B3552" w:rsidRDefault="001B3552" w:rsidP="001B3552">
      <w:pPr>
        <w:ind w:firstLine="709"/>
        <w:jc w:val="both"/>
      </w:pPr>
      <w:r>
        <w:t>1) </w:t>
      </w:r>
      <w:r w:rsidR="00931B24">
        <w:t>Стимулирование добросовестного соблюдения обязательных требований всеми контролируемыми лицами;</w:t>
      </w:r>
    </w:p>
    <w:p w:rsidR="001B3552" w:rsidRDefault="001B3552" w:rsidP="001B3552">
      <w:pPr>
        <w:ind w:firstLine="709"/>
        <w:jc w:val="both"/>
      </w:pPr>
      <w:r>
        <w:lastRenderedPageBreak/>
        <w:t>2) </w:t>
      </w:r>
      <w:r w:rsidR="00931B24">
        <w:t xml:space="preserve">Устранение условий, причин и факторов, способных привести </w:t>
      </w:r>
      <w:r>
        <w:br/>
      </w:r>
      <w:r w:rsidR="00931B24">
        <w:t>к нарушениям обязательных требований и (или) причинению вреда (ущерба) охраняемым законом ценностям;</w:t>
      </w:r>
    </w:p>
    <w:p w:rsidR="001B3552" w:rsidRDefault="001B3552" w:rsidP="001B3552">
      <w:pPr>
        <w:ind w:firstLine="709"/>
        <w:jc w:val="both"/>
      </w:pPr>
      <w:r>
        <w:t>3) </w:t>
      </w:r>
      <w:r w:rsidR="00931B24">
        <w:t>Снижение рисков причинения вреда (ущерба)охраняемым законом ценностям;</w:t>
      </w:r>
    </w:p>
    <w:p w:rsidR="001B3552" w:rsidRDefault="001B3552" w:rsidP="001B3552">
      <w:pPr>
        <w:ind w:firstLine="709"/>
        <w:jc w:val="both"/>
      </w:pPr>
      <w:r>
        <w:t>4) </w:t>
      </w:r>
      <w:r w:rsidR="00931B24">
        <w:t>Снижение уровня социальной напряженности в жилищно-коммунальной сфере;</w:t>
      </w:r>
    </w:p>
    <w:p w:rsidR="005F57B3" w:rsidRDefault="001B3552" w:rsidP="005F57B3">
      <w:pPr>
        <w:ind w:firstLine="709"/>
        <w:jc w:val="both"/>
      </w:pPr>
      <w:r>
        <w:t>5) </w:t>
      </w:r>
      <w:r w:rsidR="00931B24">
        <w:t xml:space="preserve">Создание условий для доведения обязательных требований </w:t>
      </w:r>
      <w:r>
        <w:br/>
      </w:r>
      <w:r w:rsidR="00931B24">
        <w:t xml:space="preserve">до контролируемых лиц, повышение информированности о способах </w:t>
      </w:r>
      <w:r>
        <w:br/>
      </w:r>
      <w:r w:rsidR="00931B24">
        <w:t>их соблюдения.</w:t>
      </w:r>
    </w:p>
    <w:p w:rsidR="005F57B3" w:rsidRDefault="005F57B3" w:rsidP="005F57B3">
      <w:pPr>
        <w:ind w:firstLine="709"/>
        <w:jc w:val="both"/>
      </w:pPr>
      <w:r>
        <w:t>2. </w:t>
      </w:r>
      <w:r w:rsidR="00931B24">
        <w:t>Проведение профилактических мероприятий направлено на решение следующих задач:</w:t>
      </w:r>
    </w:p>
    <w:p w:rsidR="005F57B3" w:rsidRDefault="005F57B3" w:rsidP="005F57B3">
      <w:pPr>
        <w:ind w:firstLine="709"/>
        <w:jc w:val="both"/>
      </w:pPr>
      <w:r>
        <w:t>1) </w:t>
      </w:r>
      <w:r w:rsidR="00931B24">
        <w:t xml:space="preserve">Повышение прозрачности деятельности контрольного органа; </w:t>
      </w:r>
    </w:p>
    <w:p w:rsidR="005F57B3" w:rsidRDefault="005F57B3" w:rsidP="005F57B3">
      <w:pPr>
        <w:ind w:firstLine="709"/>
        <w:jc w:val="both"/>
      </w:pPr>
      <w:r>
        <w:t>2) </w:t>
      </w:r>
      <w:r w:rsidR="00931B24">
        <w:t xml:space="preserve">Уменьшение необоснованной административной нагрузки, возлагаемой на контролируемых лиц; </w:t>
      </w:r>
    </w:p>
    <w:p w:rsidR="005F57B3" w:rsidRDefault="005F57B3" w:rsidP="005F57B3">
      <w:pPr>
        <w:ind w:firstLine="709"/>
        <w:jc w:val="both"/>
      </w:pPr>
      <w:r>
        <w:t>3) </w:t>
      </w:r>
      <w:r w:rsidR="00931B24"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5F57B3" w:rsidRDefault="005F57B3" w:rsidP="005F57B3">
      <w:pPr>
        <w:ind w:firstLine="709"/>
        <w:jc w:val="both"/>
      </w:pPr>
      <w:r>
        <w:t>4) </w:t>
      </w:r>
      <w:r w:rsidR="00931B24"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:rsidR="005F57B3" w:rsidRDefault="005F57B3" w:rsidP="005F57B3">
      <w:pPr>
        <w:ind w:firstLine="709"/>
        <w:jc w:val="both"/>
      </w:pPr>
      <w:r>
        <w:t>5) </w:t>
      </w:r>
      <w:r w:rsidR="00931B24"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>
        <w:br/>
      </w:r>
      <w:r w:rsidR="00931B24"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5F57B3" w:rsidRDefault="005F57B3" w:rsidP="005F57B3">
      <w:pPr>
        <w:ind w:firstLine="709"/>
        <w:jc w:val="both"/>
      </w:pPr>
      <w:r>
        <w:t>6) </w:t>
      </w:r>
      <w:r w:rsidR="00931B24">
        <w:t>Снижение рисков причинения вреда (ущерба) охраняемым законом ценностям;</w:t>
      </w:r>
    </w:p>
    <w:p w:rsidR="005F57B3" w:rsidRDefault="005F57B3" w:rsidP="005F57B3">
      <w:pPr>
        <w:ind w:firstLine="709"/>
        <w:jc w:val="both"/>
      </w:pPr>
      <w:r>
        <w:t>7) </w:t>
      </w:r>
      <w:r w:rsidR="00931B24">
        <w:t xml:space="preserve">Внедрение способов профилактики, установленных Положением </w:t>
      </w:r>
      <w:r>
        <w:br/>
      </w:r>
      <w:r w:rsidR="00931B24">
        <w:t xml:space="preserve">о муниципальном жилищном контроле на территории Златоустовского городского округа; </w:t>
      </w:r>
    </w:p>
    <w:p w:rsidR="00931B24" w:rsidRDefault="005F57B3" w:rsidP="005F57B3">
      <w:pPr>
        <w:ind w:firstLine="709"/>
        <w:jc w:val="both"/>
      </w:pPr>
      <w:r>
        <w:t>8) </w:t>
      </w:r>
      <w:r w:rsidR="00931B24">
        <w:t xml:space="preserve">Уменьшение административной нагрузки на контролируемых лиц; </w:t>
      </w:r>
    </w:p>
    <w:p w:rsidR="00931B24" w:rsidRDefault="00931B24" w:rsidP="00931B24">
      <w:pPr>
        <w:jc w:val="both"/>
      </w:pPr>
    </w:p>
    <w:p w:rsidR="00931B24" w:rsidRDefault="00931B24" w:rsidP="005F57B3">
      <w:pPr>
        <w:jc w:val="center"/>
      </w:pPr>
      <w:r>
        <w:t xml:space="preserve">Раздел III. Перечень профилактических мероприятий, </w:t>
      </w:r>
      <w:r w:rsidR="005F57B3">
        <w:br/>
      </w:r>
      <w:r>
        <w:t>сроки (периодичность) их проведения</w:t>
      </w:r>
    </w:p>
    <w:p w:rsidR="005F57B3" w:rsidRDefault="005F57B3" w:rsidP="005F57B3">
      <w:pPr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5"/>
        <w:gridCol w:w="2426"/>
        <w:gridCol w:w="2126"/>
        <w:gridCol w:w="2268"/>
        <w:gridCol w:w="2064"/>
      </w:tblGrid>
      <w:tr w:rsidR="00931B24" w:rsidRPr="00982A86" w:rsidTr="00A80D34">
        <w:tc>
          <w:tcPr>
            <w:tcW w:w="755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№ </w:t>
            </w:r>
            <w:r w:rsidR="00982A86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2426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931B24" w:rsidRPr="00982A86" w:rsidRDefault="00931B24" w:rsidP="006E4D5A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982A86">
              <w:rPr>
                <w:iCs/>
                <w:sz w:val="24"/>
                <w:szCs w:val="24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2064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8884" w:type="dxa"/>
            <w:gridSpan w:val="4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ексты нормативных правовых актов, 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регулирующих осуществление муниципального жилищного контроля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А</w:t>
            </w:r>
            <w:r w:rsidR="00931B24" w:rsidRPr="00982A86">
              <w:rPr>
                <w:iCs/>
                <w:sz w:val="24"/>
                <w:szCs w:val="24"/>
              </w:rPr>
              <w:t>ктуализация</w:t>
            </w:r>
          </w:p>
          <w:p w:rsidR="00931B24" w:rsidRPr="00982A86" w:rsidRDefault="00982A86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2026 года </w:t>
            </w:r>
            <w:r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lastRenderedPageBreak/>
              <w:t xml:space="preserve">(а также </w:t>
            </w:r>
            <w:r w:rsidR="00931B24" w:rsidRPr="00982A86">
              <w:rPr>
                <w:iCs/>
                <w:sz w:val="24"/>
                <w:szCs w:val="24"/>
              </w:rPr>
              <w:t>ежемесячно)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Уп</w:t>
            </w:r>
            <w:r w:rsidR="00982A86">
              <w:rPr>
                <w:iCs/>
                <w:sz w:val="24"/>
                <w:szCs w:val="24"/>
              </w:rPr>
              <w:t xml:space="preserve">равление муниципальной </w:t>
            </w:r>
            <w:r w:rsidR="00982A86">
              <w:rPr>
                <w:iCs/>
                <w:sz w:val="24"/>
                <w:szCs w:val="24"/>
              </w:rPr>
              <w:lastRenderedPageBreak/>
              <w:t>милиции А</w:t>
            </w:r>
            <w:r w:rsidRPr="00982A86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 w:val="restart"/>
          </w:tcPr>
          <w:p w:rsidR="00931B24" w:rsidRPr="00982A86" w:rsidRDefault="005C19EC" w:rsidP="00DB69A8">
            <w:pPr>
              <w:ind w:left="-6" w:right="-6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размещения </w:t>
            </w:r>
            <w:r w:rsidR="00931B24" w:rsidRPr="00982A86">
              <w:rPr>
                <w:iCs/>
                <w:sz w:val="24"/>
                <w:szCs w:val="24"/>
              </w:rPr>
              <w:lastRenderedPageBreak/>
              <w:t xml:space="preserve">информации </w:t>
            </w:r>
            <w:r w:rsidR="00982A86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151A9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931B24" w:rsidRPr="00982A86" w:rsidTr="00A80D34">
        <w:trPr>
          <w:trHeight w:val="2361"/>
        </w:trPr>
        <w:tc>
          <w:tcPr>
            <w:tcW w:w="755" w:type="dxa"/>
          </w:tcPr>
          <w:p w:rsidR="00151A94" w:rsidRDefault="00151A9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</w:t>
            </w:r>
            <w:r w:rsidR="00151A9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 нормативные правовые акты, регулирующие осуществление муниципального жилищного контроля,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 сроках и порядке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их вступления в силу</w:t>
            </w:r>
          </w:p>
        </w:tc>
        <w:tc>
          <w:tcPr>
            <w:tcW w:w="2126" w:type="dxa"/>
          </w:tcPr>
          <w:p w:rsidR="00151A94" w:rsidRDefault="00151A9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>ервичное размещение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 квартал 2026 года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2268" w:type="dxa"/>
          </w:tcPr>
          <w:p w:rsidR="00151A94" w:rsidRDefault="00151A94" w:rsidP="00DB69A8">
            <w:pPr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Уп</w:t>
            </w:r>
            <w:r w:rsidR="00151A94">
              <w:rPr>
                <w:iCs/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еречень нормативных правовых актов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а также информация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 мерах ответственности, применяемых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при нарушении обязательных требований, </w:t>
            </w:r>
            <w:r w:rsid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с текстами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в действующей редакции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982A86">
              <w:rPr>
                <w:iCs/>
                <w:sz w:val="24"/>
                <w:szCs w:val="24"/>
              </w:rPr>
              <w:t>ктуализация</w:t>
            </w:r>
          </w:p>
          <w:p w:rsidR="00931B24" w:rsidRPr="00982A86" w:rsidRDefault="00DE5FB0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2026 года </w:t>
            </w:r>
            <w:r>
              <w:rPr>
                <w:iCs/>
                <w:sz w:val="24"/>
                <w:szCs w:val="24"/>
              </w:rPr>
              <w:br/>
              <w:t xml:space="preserve">(а также </w:t>
            </w:r>
            <w:r w:rsidR="00931B24" w:rsidRPr="00982A86">
              <w:rPr>
                <w:iCs/>
                <w:sz w:val="24"/>
                <w:szCs w:val="24"/>
              </w:rPr>
              <w:t>ежемесячно)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DE5FB0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426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t xml:space="preserve">Перечень индикаторов риска нарушения обязательных требований, порядок отнесения объектов контроля </w:t>
            </w:r>
            <w:r w:rsidR="006E4D5A" w:rsidRP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6E4D5A">
              <w:rPr>
                <w:rFonts w:eastAsiaTheme="minorHAnsi"/>
                <w:sz w:val="24"/>
                <w:szCs w:val="24"/>
                <w:lang w:eastAsia="en-US"/>
              </w:rPr>
              <w:t>к категориям риска</w:t>
            </w:r>
          </w:p>
        </w:tc>
        <w:tc>
          <w:tcPr>
            <w:tcW w:w="2126" w:type="dxa"/>
          </w:tcPr>
          <w:p w:rsidR="00931B24" w:rsidRPr="006E4D5A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6E4D5A">
              <w:rPr>
                <w:iCs/>
                <w:sz w:val="24"/>
                <w:szCs w:val="24"/>
              </w:rPr>
              <w:t>ктуализация</w:t>
            </w:r>
          </w:p>
          <w:p w:rsidR="00931B24" w:rsidRPr="006E4D5A" w:rsidRDefault="00922A97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1 квартал 2026 года </w:t>
            </w:r>
            <w:r w:rsidRPr="006E4D5A">
              <w:rPr>
                <w:iCs/>
                <w:sz w:val="24"/>
                <w:szCs w:val="24"/>
              </w:rPr>
              <w:br/>
              <w:t xml:space="preserve">(а также </w:t>
            </w:r>
            <w:r w:rsidR="00931B24" w:rsidRPr="006E4D5A">
              <w:rPr>
                <w:iCs/>
                <w:sz w:val="24"/>
                <w:szCs w:val="24"/>
              </w:rPr>
              <w:t>ежемесячно</w:t>
            </w:r>
            <w:r w:rsidRPr="006E4D5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31B24" w:rsidRPr="006E4D5A" w:rsidRDefault="00931B24" w:rsidP="00DB69A8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>Уп</w:t>
            </w:r>
            <w:r w:rsidR="00922A97" w:rsidRPr="006E4D5A">
              <w:rPr>
                <w:sz w:val="24"/>
                <w:szCs w:val="24"/>
              </w:rPr>
              <w:t>равление муниципальной милиции А</w:t>
            </w:r>
            <w:r w:rsidRPr="006E4D5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</w:tcPr>
          <w:p w:rsidR="00931B24" w:rsidRPr="006E4D5A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6E4D5A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1.5.</w:t>
            </w:r>
          </w:p>
        </w:tc>
        <w:tc>
          <w:tcPr>
            <w:tcW w:w="2426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2126" w:type="dxa"/>
          </w:tcPr>
          <w:p w:rsidR="00931B24" w:rsidRPr="006E4D5A" w:rsidRDefault="006E4D5A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Pr="006E4D5A">
              <w:rPr>
                <w:iCs/>
                <w:sz w:val="24"/>
                <w:szCs w:val="24"/>
              </w:rPr>
              <w:br/>
              <w:t xml:space="preserve">не позднее </w:t>
            </w:r>
            <w:r w:rsidRPr="006E4D5A">
              <w:rPr>
                <w:iCs/>
                <w:sz w:val="24"/>
                <w:szCs w:val="24"/>
              </w:rPr>
              <w:br/>
              <w:t xml:space="preserve">1 квартал </w:t>
            </w:r>
            <w:r w:rsidR="00931B24" w:rsidRPr="006E4D5A">
              <w:rPr>
                <w:iCs/>
                <w:sz w:val="24"/>
                <w:szCs w:val="24"/>
              </w:rPr>
              <w:t xml:space="preserve">2026 </w:t>
            </w:r>
            <w:r w:rsidR="00931B24" w:rsidRPr="006E4D5A">
              <w:rPr>
                <w:iCs/>
                <w:sz w:val="24"/>
                <w:szCs w:val="24"/>
              </w:rPr>
              <w:lastRenderedPageBreak/>
              <w:t xml:space="preserve">года (актуализация </w:t>
            </w:r>
            <w:r w:rsidR="00922A97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>по мере необходимости</w:t>
            </w:r>
            <w:r w:rsidR="00922A97" w:rsidRPr="006E4D5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31B24" w:rsidRPr="006E4D5A" w:rsidRDefault="00931B24" w:rsidP="00DB69A8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lastRenderedPageBreak/>
              <w:t>Уп</w:t>
            </w:r>
            <w:r w:rsidR="00922A97" w:rsidRPr="006E4D5A">
              <w:rPr>
                <w:sz w:val="24"/>
                <w:szCs w:val="24"/>
              </w:rPr>
              <w:t>равление муниципальной милиции А</w:t>
            </w:r>
            <w:r w:rsidRPr="006E4D5A">
              <w:rPr>
                <w:sz w:val="24"/>
                <w:szCs w:val="24"/>
              </w:rPr>
              <w:t xml:space="preserve">дминистрации </w:t>
            </w:r>
            <w:r w:rsidRPr="006E4D5A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  <w:tc>
          <w:tcPr>
            <w:tcW w:w="2064" w:type="dxa"/>
          </w:tcPr>
          <w:p w:rsidR="00931B24" w:rsidRPr="006E4D5A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931B24" w:rsidRPr="006E4D5A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 xml:space="preserve">в разделе </w:t>
            </w:r>
            <w:r w:rsidR="00931B24" w:rsidRPr="006E4D5A">
              <w:rPr>
                <w:sz w:val="24"/>
                <w:szCs w:val="24"/>
              </w:rPr>
              <w:lastRenderedPageBreak/>
              <w:t xml:space="preserve">«муниципальный контроль»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>на официальном сайте контрольного органа, размещение объектов в ЕРВК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931B24" w:rsidRPr="00982A86">
              <w:rPr>
                <w:iCs/>
                <w:sz w:val="24"/>
                <w:szCs w:val="24"/>
              </w:rPr>
              <w:t xml:space="preserve">жегодно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 w:val="restart"/>
          </w:tcPr>
          <w:p w:rsidR="00931B24" w:rsidRPr="00982A86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982A86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1.7.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органами местного самоуправления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982A86">
              <w:rPr>
                <w:iCs/>
                <w:sz w:val="24"/>
                <w:szCs w:val="24"/>
              </w:rPr>
              <w:t xml:space="preserve">ктуализация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1 квартал </w:t>
            </w:r>
            <w:r w:rsidR="00A80D3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2426" w:type="dxa"/>
          </w:tcPr>
          <w:p w:rsidR="00931B24" w:rsidRPr="00922A97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1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1 квартал </w:t>
            </w:r>
            <w:r w:rsidR="00A80D34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2026 года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1.9.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ведения о способах получения консультаций </w:t>
            </w:r>
            <w:r w:rsidR="00A80D3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по вопросам соблюдения обязательных 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требований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(по телефону, посредством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видео-конференц-связи, на личном приеме либо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в ходе проведения профилактического мероприятия, контрольного мероприятия)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А</w:t>
            </w:r>
            <w:r w:rsidR="00931B24" w:rsidRPr="00982A86">
              <w:rPr>
                <w:iCs/>
                <w:sz w:val="24"/>
                <w:szCs w:val="24"/>
              </w:rPr>
              <w:t xml:space="preserve">ктуализация 1 квартал 2026 года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(а также в случае необходимости внесения изменений)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оклад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о муниципальном контроле</w:t>
            </w:r>
          </w:p>
        </w:tc>
        <w:tc>
          <w:tcPr>
            <w:tcW w:w="21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  <w:lang w:val="en-US"/>
              </w:rPr>
              <w:t>I</w:t>
            </w:r>
            <w:r w:rsidRPr="00982A86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922A9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982A86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931B24" w:rsidRPr="00982A86" w:rsidTr="00A80D34">
        <w:trPr>
          <w:trHeight w:val="738"/>
        </w:trPr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65274E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выдачи лично </w:t>
            </w:r>
            <w:r w:rsidR="00A80D3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или почтовым отправлением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2426" w:type="dxa"/>
          </w:tcPr>
          <w:p w:rsidR="00931B24" w:rsidRPr="006E4D5A" w:rsidRDefault="00931B24" w:rsidP="006E4D5A">
            <w:pPr>
              <w:autoSpaceDE w:val="0"/>
              <w:autoSpaceDN w:val="0"/>
              <w:adjustRightInd w:val="0"/>
              <w:ind w:left="-5" w:right="-62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Разъяснение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Pr="006E4D5A">
              <w:rPr>
                <w:iCs/>
                <w:sz w:val="24"/>
                <w:szCs w:val="24"/>
              </w:rPr>
              <w:t>по вопросам: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положений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 xml:space="preserve">нормативных правовых актов, муниципальных правовых актов, содержащих обязательные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 xml:space="preserve">требования, оценка соблюдения которых осуществляется </w:t>
            </w:r>
            <w:r w:rsidR="00A80D34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в рамках муниципального жилищного контроля;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положений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 xml:space="preserve">нормативных правовых актов, муниципальных правовых актов, регламентирующих </w:t>
            </w:r>
            <w:r w:rsidRPr="006E4D5A">
              <w:rPr>
                <w:sz w:val="24"/>
                <w:szCs w:val="24"/>
              </w:rPr>
              <w:lastRenderedPageBreak/>
              <w:t>порядок осуществления муниципального жилищного контроля;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порядка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обжалования решений уполномоченных органов, действий (бездействия) должностных лиц, осуществляющих муниципальный жилищный контроль;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279"/>
                <w:tab w:val="left" w:pos="333"/>
                <w:tab w:val="left" w:pos="567"/>
              </w:tabs>
              <w:ind w:left="0" w:hanging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t>выполнения предписания, выданного по итогам контрольного мероприятия</w:t>
            </w:r>
          </w:p>
        </w:tc>
        <w:tc>
          <w:tcPr>
            <w:tcW w:w="2126" w:type="dxa"/>
          </w:tcPr>
          <w:p w:rsidR="00931B24" w:rsidRPr="006E4D5A" w:rsidRDefault="003A1339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931B24" w:rsidRPr="006E4D5A">
              <w:rPr>
                <w:iCs/>
                <w:sz w:val="24"/>
                <w:szCs w:val="24"/>
              </w:rPr>
              <w:t>остоянно по мере поступления обращений</w:t>
            </w:r>
          </w:p>
        </w:tc>
        <w:tc>
          <w:tcPr>
            <w:tcW w:w="2268" w:type="dxa"/>
          </w:tcPr>
          <w:p w:rsidR="00931B24" w:rsidRPr="006E4D5A" w:rsidRDefault="00931B24" w:rsidP="006E4D5A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Должностные лица, уполномоченные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6E4D5A" w:rsidRDefault="003A1339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931B24" w:rsidRPr="006E4D5A">
              <w:rPr>
                <w:iCs/>
                <w:sz w:val="24"/>
                <w:szCs w:val="24"/>
              </w:rPr>
              <w:t xml:space="preserve">стно, письменно, посредством ВКС, посредством размещения письменных ответов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 xml:space="preserve">на запросы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4. Профилактический визит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4.1.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2A86">
              <w:rPr>
                <w:i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</w:t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Профилактический визит к лицам, </w:t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A80D34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BA3817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>в контролируемой сфере в 2026 году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либо путем использования видео-конференц-связи, посредством </w:t>
            </w:r>
            <w:r w:rsidR="00BA381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МП «Инспектор»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5. Информирование об итогах реализации программы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профилактики рисков причинения вреда (ущерба)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5.1.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Размещение отчета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об итогах реализации программы за 2025 г. профилактики рисков причинения вреда (ущерба)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охраняемым законом ценностям при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осуществлении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муниципального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жилищного контроля</w:t>
            </w:r>
          </w:p>
        </w:tc>
        <w:tc>
          <w:tcPr>
            <w:tcW w:w="2126" w:type="dxa"/>
          </w:tcPr>
          <w:p w:rsidR="00931B24" w:rsidRPr="00982A86" w:rsidRDefault="00BA3817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Февраль 2026 года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BA381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BA381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503D57" w:rsidRDefault="00503D57" w:rsidP="00931B24">
      <w:pPr>
        <w:jc w:val="both"/>
      </w:pPr>
    </w:p>
    <w:p w:rsidR="00A80D34" w:rsidRDefault="00A80D34" w:rsidP="00931B24">
      <w:pPr>
        <w:jc w:val="both"/>
      </w:pPr>
    </w:p>
    <w:p w:rsidR="00A80D34" w:rsidRDefault="00A80D34" w:rsidP="00931B24">
      <w:pPr>
        <w:jc w:val="both"/>
      </w:pPr>
    </w:p>
    <w:p w:rsidR="00A80D34" w:rsidRDefault="00A80D34" w:rsidP="00931B24">
      <w:pPr>
        <w:jc w:val="both"/>
      </w:pPr>
    </w:p>
    <w:p w:rsidR="00931B24" w:rsidRDefault="00931B24" w:rsidP="00503D57">
      <w:pPr>
        <w:jc w:val="center"/>
      </w:pPr>
      <w:r>
        <w:lastRenderedPageBreak/>
        <w:t xml:space="preserve">Раздел IV. Показатели результативности и эффективности </w:t>
      </w:r>
      <w:r w:rsidR="00503D57">
        <w:br/>
      </w:r>
      <w:r>
        <w:t>программы профилактики</w:t>
      </w:r>
    </w:p>
    <w:p w:rsidR="00503D57" w:rsidRDefault="00503D57" w:rsidP="00931B24">
      <w:pPr>
        <w:jc w:val="both"/>
      </w:pPr>
    </w:p>
    <w:p w:rsidR="00DB69A8" w:rsidRDefault="00931B24" w:rsidP="00DB69A8">
      <w:pPr>
        <w:ind w:firstLine="709"/>
        <w:jc w:val="both"/>
      </w:pPr>
      <w:r>
        <w:t>Программа профилактики призвана обеспечить в 2026 году создание условий для снижения случаев нарушения 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 w:rsidR="00931B24" w:rsidRDefault="00931B24" w:rsidP="00DB69A8">
      <w:pPr>
        <w:ind w:firstLine="709"/>
        <w:jc w:val="both"/>
      </w:pPr>
      <w:r>
        <w:t>Реализации программы профилактики будет способствовать повышению эффективности соблюдения установленных обязательных требований.</w:t>
      </w:r>
    </w:p>
    <w:p w:rsidR="00DB69A8" w:rsidRDefault="00DB69A8" w:rsidP="00DB69A8">
      <w:pPr>
        <w:ind w:firstLine="709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6383"/>
        <w:gridCol w:w="2612"/>
      </w:tblGrid>
      <w:tr w:rsidR="00931B24" w:rsidRPr="00DB69A8" w:rsidTr="00DB69A8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Величина</w:t>
            </w:r>
          </w:p>
        </w:tc>
      </w:tr>
      <w:tr w:rsidR="00931B24" w:rsidRPr="00DB69A8" w:rsidTr="00DB69A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DB6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 xml:space="preserve">Полнота информации, размещенной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 xml:space="preserve">на официальном сайте контрольного органа в сети «Интернет» в соответствии с частью 3 статьи 46 Федерального закона от 31 июля 2020 г. № 248-ФЗ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100 %</w:t>
            </w:r>
          </w:p>
        </w:tc>
      </w:tr>
      <w:tr w:rsidR="00931B24" w:rsidRPr="00DB69A8" w:rsidTr="00DB69A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DB6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100</w:t>
            </w:r>
            <w:r w:rsidR="00DB69A8">
              <w:t> </w:t>
            </w:r>
            <w:r w:rsidRPr="00DB69A8">
              <w:rPr>
                <w:sz w:val="24"/>
                <w:szCs w:val="24"/>
              </w:rPr>
              <w:t xml:space="preserve">%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>от запланированных</w:t>
            </w:r>
          </w:p>
        </w:tc>
      </w:tr>
    </w:tbl>
    <w:p w:rsidR="00D3464D" w:rsidRDefault="00D3464D" w:rsidP="00931B24"/>
    <w:p w:rsidR="00931B24" w:rsidRPr="00931B24" w:rsidRDefault="00931B24" w:rsidP="00D3464D">
      <w:pPr>
        <w:ind w:firstLine="709"/>
      </w:pPr>
      <w:r w:rsidRPr="00931B24"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268"/>
        <w:gridCol w:w="2693"/>
        <w:gridCol w:w="2267"/>
      </w:tblGrid>
      <w:tr w:rsidR="00931B24" w:rsidRPr="00D3464D" w:rsidTr="00D3464D">
        <w:trPr>
          <w:trHeight w:val="420"/>
          <w:jc w:val="center"/>
        </w:trPr>
        <w:tc>
          <w:tcPr>
            <w:tcW w:w="2411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268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693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 xml:space="preserve">отклонение больше </w:t>
            </w:r>
            <w:r w:rsidR="00D3464D">
              <w:rPr>
                <w:sz w:val="24"/>
                <w:szCs w:val="24"/>
              </w:rPr>
              <w:br/>
            </w:r>
            <w:r w:rsidRPr="00D3464D">
              <w:rPr>
                <w:sz w:val="24"/>
                <w:szCs w:val="24"/>
              </w:rPr>
              <w:t>20%</w:t>
            </w:r>
          </w:p>
        </w:tc>
        <w:tc>
          <w:tcPr>
            <w:tcW w:w="2267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 xml:space="preserve">отклонение </w:t>
            </w:r>
            <w:r w:rsidR="00A80D34">
              <w:rPr>
                <w:sz w:val="24"/>
                <w:szCs w:val="24"/>
              </w:rPr>
              <w:br/>
            </w:r>
            <w:r w:rsidRPr="00D3464D">
              <w:rPr>
                <w:sz w:val="24"/>
                <w:szCs w:val="24"/>
              </w:rPr>
              <w:t>больше 50 %</w:t>
            </w:r>
          </w:p>
        </w:tc>
      </w:tr>
      <w:tr w:rsidR="00931B24" w:rsidRPr="00D3464D" w:rsidTr="00D3464D">
        <w:trPr>
          <w:trHeight w:val="420"/>
          <w:jc w:val="center"/>
        </w:trPr>
        <w:tc>
          <w:tcPr>
            <w:tcW w:w="2411" w:type="dxa"/>
          </w:tcPr>
          <w:p w:rsidR="00931B24" w:rsidRPr="00D3464D" w:rsidRDefault="00931B24" w:rsidP="00931B24">
            <w:pPr>
              <w:ind w:firstLine="34"/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оценка</w:t>
            </w:r>
          </w:p>
        </w:tc>
        <w:tc>
          <w:tcPr>
            <w:tcW w:w="2268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693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267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D3464D" w:rsidRDefault="00D3464D" w:rsidP="00931B24"/>
    <w:p w:rsidR="00931B24" w:rsidRPr="00931B24" w:rsidRDefault="00931B24" w:rsidP="00A80D34">
      <w:pPr>
        <w:ind w:right="-1" w:firstLine="709"/>
        <w:jc w:val="both"/>
      </w:pPr>
      <w:r w:rsidRPr="00931B24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D3464D">
        <w:br/>
      </w:r>
      <w:r w:rsidRPr="00931B24">
        <w:t>не позднее февраля 2027 года.</w:t>
      </w:r>
    </w:p>
    <w:p w:rsidR="00931B24" w:rsidRPr="00E335AA" w:rsidRDefault="00931B24" w:rsidP="00931B24">
      <w:pPr>
        <w:jc w:val="both"/>
      </w:pPr>
    </w:p>
    <w:sectPr w:rsidR="00931B24" w:rsidRPr="00E335AA" w:rsidSect="00931B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7A" w:rsidRDefault="00515B7A">
      <w:r>
        <w:separator/>
      </w:r>
    </w:p>
  </w:endnote>
  <w:endnote w:type="continuationSeparator" w:id="1">
    <w:p w:rsidR="00515B7A" w:rsidRDefault="0051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97" w:rsidRPr="00FF7009" w:rsidRDefault="00922A9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97" w:rsidRPr="00C9340B" w:rsidRDefault="00922A9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7A" w:rsidRDefault="00515B7A">
      <w:r>
        <w:separator/>
      </w:r>
    </w:p>
  </w:footnote>
  <w:footnote w:type="continuationSeparator" w:id="1">
    <w:p w:rsidR="00515B7A" w:rsidRDefault="00515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97" w:rsidRPr="00FF7009" w:rsidRDefault="00BD730C" w:rsidP="00FF7009">
    <w:pPr>
      <w:pStyle w:val="a5"/>
      <w:jc w:val="center"/>
      <w:rPr>
        <w:lang w:val="en-US"/>
      </w:rPr>
    </w:pPr>
    <w:r>
      <w:fldChar w:fldCharType="begin"/>
    </w:r>
    <w:r w:rsidR="00922A97">
      <w:instrText xml:space="preserve"> PAGE   \* MERGEFORMAT </w:instrText>
    </w:r>
    <w:r>
      <w:fldChar w:fldCharType="separate"/>
    </w:r>
    <w:r w:rsidR="00381778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97" w:rsidRPr="00E045E8" w:rsidRDefault="00922A9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4909"/>
    <w:rsid w:val="000C680A"/>
    <w:rsid w:val="000D23DE"/>
    <w:rsid w:val="000E17A5"/>
    <w:rsid w:val="000F1E06"/>
    <w:rsid w:val="00110850"/>
    <w:rsid w:val="00121B20"/>
    <w:rsid w:val="00124F7B"/>
    <w:rsid w:val="0012580A"/>
    <w:rsid w:val="001333E0"/>
    <w:rsid w:val="00137AA8"/>
    <w:rsid w:val="00151A9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3552"/>
    <w:rsid w:val="001C1A94"/>
    <w:rsid w:val="001E53B4"/>
    <w:rsid w:val="00200670"/>
    <w:rsid w:val="002141BD"/>
    <w:rsid w:val="002532AF"/>
    <w:rsid w:val="0025570C"/>
    <w:rsid w:val="00256E1C"/>
    <w:rsid w:val="0026399D"/>
    <w:rsid w:val="00283F4E"/>
    <w:rsid w:val="00295AF1"/>
    <w:rsid w:val="002A5889"/>
    <w:rsid w:val="002B2446"/>
    <w:rsid w:val="002C0003"/>
    <w:rsid w:val="002D62C6"/>
    <w:rsid w:val="003021C1"/>
    <w:rsid w:val="00304C55"/>
    <w:rsid w:val="00307ED2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1778"/>
    <w:rsid w:val="00384F5B"/>
    <w:rsid w:val="00390123"/>
    <w:rsid w:val="00392A60"/>
    <w:rsid w:val="00392DA7"/>
    <w:rsid w:val="0039731A"/>
    <w:rsid w:val="003A1339"/>
    <w:rsid w:val="003A5C1B"/>
    <w:rsid w:val="003A7125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3D57"/>
    <w:rsid w:val="00506A57"/>
    <w:rsid w:val="00513E4F"/>
    <w:rsid w:val="00515B7A"/>
    <w:rsid w:val="0052371C"/>
    <w:rsid w:val="00527A5C"/>
    <w:rsid w:val="00562567"/>
    <w:rsid w:val="0056766F"/>
    <w:rsid w:val="0057186F"/>
    <w:rsid w:val="005866F3"/>
    <w:rsid w:val="00587709"/>
    <w:rsid w:val="005C19EC"/>
    <w:rsid w:val="005F57B3"/>
    <w:rsid w:val="00600481"/>
    <w:rsid w:val="006049CB"/>
    <w:rsid w:val="00610324"/>
    <w:rsid w:val="00610D41"/>
    <w:rsid w:val="00611367"/>
    <w:rsid w:val="00616E34"/>
    <w:rsid w:val="00621AA5"/>
    <w:rsid w:val="00635691"/>
    <w:rsid w:val="0065274E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D5A"/>
    <w:rsid w:val="006F54F4"/>
    <w:rsid w:val="00702791"/>
    <w:rsid w:val="00705CC3"/>
    <w:rsid w:val="00717977"/>
    <w:rsid w:val="00721E76"/>
    <w:rsid w:val="007307DD"/>
    <w:rsid w:val="00765B23"/>
    <w:rsid w:val="00772510"/>
    <w:rsid w:val="00776B14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2A97"/>
    <w:rsid w:val="00931B24"/>
    <w:rsid w:val="009341F4"/>
    <w:rsid w:val="00936B2D"/>
    <w:rsid w:val="009416DA"/>
    <w:rsid w:val="00941FDB"/>
    <w:rsid w:val="00954AFE"/>
    <w:rsid w:val="00957178"/>
    <w:rsid w:val="00970691"/>
    <w:rsid w:val="00975C03"/>
    <w:rsid w:val="00977F4D"/>
    <w:rsid w:val="00982A8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C70"/>
    <w:rsid w:val="00A70879"/>
    <w:rsid w:val="00A80D34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3817"/>
    <w:rsid w:val="00BC1A1B"/>
    <w:rsid w:val="00BC386A"/>
    <w:rsid w:val="00BD1361"/>
    <w:rsid w:val="00BD730C"/>
    <w:rsid w:val="00BF6A03"/>
    <w:rsid w:val="00C03AB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464D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9A8"/>
    <w:rsid w:val="00DC242D"/>
    <w:rsid w:val="00DC4985"/>
    <w:rsid w:val="00DC562F"/>
    <w:rsid w:val="00DD2279"/>
    <w:rsid w:val="00DE4816"/>
    <w:rsid w:val="00DE5FB0"/>
    <w:rsid w:val="00DF2B41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2025-12-18T11:39:00Z</cp:lastPrinted>
  <dcterms:created xsi:type="dcterms:W3CDTF">2025-12-19T07:40:00Z</dcterms:created>
  <dcterms:modified xsi:type="dcterms:W3CDTF">2025-12-19T07:40:00Z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