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DB" w:rsidRPr="001745DB" w:rsidRDefault="001745DB" w:rsidP="001745DB">
      <w:pPr>
        <w:tabs>
          <w:tab w:val="left" w:pos="4962"/>
        </w:tabs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Приложение 3</w:t>
      </w:r>
    </w:p>
    <w:p w:rsidR="001745DB" w:rsidRPr="001745DB" w:rsidRDefault="001745DB" w:rsidP="001745DB">
      <w:pPr>
        <w:tabs>
          <w:tab w:val="left" w:pos="4962"/>
        </w:tabs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 муниципальной Программе</w:t>
      </w:r>
    </w:p>
    <w:p w:rsidR="001745DB" w:rsidRPr="001745DB" w:rsidRDefault="001745DB" w:rsidP="001745DB">
      <w:pPr>
        <w:tabs>
          <w:tab w:val="left" w:pos="4962"/>
        </w:tabs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«Обеспечение качественными услугами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1745D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жилищно-коммунального хозяйства населения, дорожной деятельности и транспорта Златоустовского городского округа»</w:t>
      </w:r>
    </w:p>
    <w:p w:rsidR="001745DB" w:rsidRPr="001745DB" w:rsidRDefault="001745DB" w:rsidP="001745DB">
      <w:pPr>
        <w:tabs>
          <w:tab w:val="left" w:pos="4962"/>
        </w:tabs>
        <w:suppressAutoHyphens/>
        <w:spacing w:after="0" w:line="240" w:lineRule="auto"/>
        <w:ind w:right="-424" w:firstLine="4395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</w:t>
      </w:r>
    </w:p>
    <w:p w:rsidR="001745DB" w:rsidRPr="001745DB" w:rsidRDefault="001745DB" w:rsidP="001745DB">
      <w:pPr>
        <w:suppressAutoHyphens/>
        <w:autoSpaceDE w:val="0"/>
        <w:spacing w:after="0" w:line="240" w:lineRule="auto"/>
        <w:ind w:left="4962" w:firstLine="439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45DB" w:rsidRPr="001745DB" w:rsidRDefault="001745DB" w:rsidP="001745DB">
      <w:pPr>
        <w:tabs>
          <w:tab w:val="left" w:pos="4962"/>
        </w:tabs>
        <w:suppressAutoHyphens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28"/>
          <w:sz w:val="28"/>
          <w:szCs w:val="28"/>
          <w:lang w:val="x-none" w:eastAsia="ar-SA"/>
        </w:rPr>
      </w:pPr>
      <w:r w:rsidRPr="001745DB">
        <w:rPr>
          <w:rFonts w:ascii="Times New Roman" w:eastAsia="Times New Roman" w:hAnsi="Times New Roman" w:cs="Times New Roman"/>
          <w:caps/>
          <w:kern w:val="28"/>
          <w:sz w:val="28"/>
          <w:szCs w:val="28"/>
          <w:lang w:val="x-none" w:eastAsia="ar-SA"/>
        </w:rPr>
        <w:t>Подпрограмма</w:t>
      </w:r>
    </w:p>
    <w:p w:rsidR="001745DB" w:rsidRPr="001745DB" w:rsidRDefault="001745DB" w:rsidP="001745D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28"/>
          <w:sz w:val="28"/>
          <w:szCs w:val="28"/>
          <w:lang w:val="x-none" w:eastAsia="ar-SA"/>
        </w:rPr>
      </w:pPr>
    </w:p>
    <w:p w:rsidR="001745DB" w:rsidRPr="001745DB" w:rsidRDefault="001745DB" w:rsidP="001745D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</w:pPr>
      <w:r w:rsidRPr="001745DB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«Мероприятия в сфере жилищно-коммунального</w:t>
      </w:r>
    </w:p>
    <w:p w:rsidR="001745DB" w:rsidRPr="001745DB" w:rsidRDefault="001745DB" w:rsidP="001745D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</w:pPr>
      <w:r w:rsidRPr="001745DB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хозяйства Златоустовского городского округа»</w:t>
      </w: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 xml:space="preserve">Паспорт Подпрограммы </w:t>
      </w:r>
    </w:p>
    <w:p w:rsidR="001745DB" w:rsidRPr="001745DB" w:rsidRDefault="001745DB" w:rsidP="001745D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</w:pPr>
      <w:r w:rsidRPr="001745DB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«Мероприятия в сфере жилищно-коммунального</w:t>
      </w:r>
    </w:p>
    <w:p w:rsidR="001745DB" w:rsidRPr="001745DB" w:rsidRDefault="001745DB" w:rsidP="001745D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</w:pPr>
      <w:r w:rsidRPr="001745DB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хозяйства Златоустовского городского округа</w:t>
      </w:r>
      <w:r w:rsidRPr="001745DB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 (далее – Подпрограмма)</w:t>
      </w:r>
      <w:r w:rsidRPr="001745DB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»</w:t>
      </w:r>
    </w:p>
    <w:p w:rsidR="001745DB" w:rsidRPr="001745DB" w:rsidRDefault="001745DB" w:rsidP="001745D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1745DB" w:rsidRPr="001745DB" w:rsidTr="001745DB">
        <w:trPr>
          <w:trHeight w:val="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LineNumbers/>
              <w:tabs>
                <w:tab w:val="left" w:pos="3242"/>
              </w:tabs>
              <w:suppressAutoHyphens/>
              <w:snapToGrid w:val="0"/>
              <w:spacing w:after="0" w:line="240" w:lineRule="auto"/>
              <w:ind w:left="25" w:right="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Ответственный исполнитель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МКУ ЗГО «УЖКХ»</w:t>
            </w:r>
          </w:p>
        </w:tc>
      </w:tr>
      <w:tr w:rsidR="001745DB" w:rsidRPr="001745DB" w:rsidTr="001745D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Соисполнитель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suppressLineNumbers/>
              <w:tabs>
                <w:tab w:val="left" w:pos="228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Администрация Златоустовского городского округа</w:t>
            </w:r>
          </w:p>
        </w:tc>
      </w:tr>
      <w:tr w:rsidR="001745DB" w:rsidRPr="001745DB" w:rsidTr="001745D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LineNumbers/>
              <w:suppressAutoHyphens/>
              <w:snapToGrid w:val="0"/>
              <w:spacing w:after="0" w:line="240" w:lineRule="auto"/>
              <w:ind w:left="65" w:right="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Цель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Pr="001745DB" w:rsidRDefault="001745DB" w:rsidP="001745DB">
            <w:pPr>
              <w:tabs>
                <w:tab w:val="left" w:pos="254"/>
              </w:tabs>
              <w:suppressAutoHyphens/>
              <w:snapToGrid w:val="0"/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Создание благоприятной среды для безопасных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и комфортных условий проживания населения округа.</w:t>
            </w:r>
          </w:p>
        </w:tc>
      </w:tr>
      <w:tr w:rsidR="001745DB" w:rsidRPr="001745DB" w:rsidTr="001745D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5DB" w:rsidRPr="001745DB" w:rsidRDefault="001745DB" w:rsidP="001745DB">
            <w:pPr>
              <w:numPr>
                <w:ilvl w:val="0"/>
                <w:numId w:val="2"/>
              </w:numPr>
              <w:tabs>
                <w:tab w:val="left" w:pos="-197"/>
                <w:tab w:val="left" w:pos="228"/>
                <w:tab w:val="left" w:pos="370"/>
                <w:tab w:val="left" w:pos="2922"/>
              </w:tabs>
              <w:suppressAutoHyphens/>
              <w:snapToGrid w:val="0"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Модернизация объектов коммунальной инфраструктуры.</w:t>
            </w:r>
          </w:p>
          <w:p w:rsidR="001745DB" w:rsidRPr="001745DB" w:rsidRDefault="001745DB" w:rsidP="001745DB">
            <w:pPr>
              <w:numPr>
                <w:ilvl w:val="0"/>
                <w:numId w:val="2"/>
              </w:numPr>
              <w:tabs>
                <w:tab w:val="left" w:pos="-197"/>
                <w:tab w:val="left" w:pos="228"/>
                <w:tab w:val="left" w:pos="370"/>
                <w:tab w:val="left" w:pos="2922"/>
              </w:tabs>
              <w:suppressAutoHyphens/>
              <w:snapToGrid w:val="0"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Организация водоснабжения, водоотведения, теплоснабжения и электроснабжения населения.</w:t>
            </w:r>
          </w:p>
          <w:p w:rsidR="001745DB" w:rsidRPr="001745DB" w:rsidRDefault="001745DB" w:rsidP="001745DB">
            <w:pPr>
              <w:numPr>
                <w:ilvl w:val="0"/>
                <w:numId w:val="2"/>
              </w:numPr>
              <w:tabs>
                <w:tab w:val="left" w:pos="-197"/>
                <w:tab w:val="left" w:pos="0"/>
                <w:tab w:val="left" w:pos="228"/>
                <w:tab w:val="left" w:pos="370"/>
                <w:tab w:val="left" w:pos="2922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Создание благоприятных условий для проживания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и отдыха жителей округа.</w:t>
            </w:r>
          </w:p>
          <w:p w:rsidR="001745DB" w:rsidRPr="001745DB" w:rsidRDefault="001745DB" w:rsidP="001745DB">
            <w:pPr>
              <w:numPr>
                <w:ilvl w:val="0"/>
                <w:numId w:val="2"/>
              </w:numPr>
              <w:tabs>
                <w:tab w:val="left" w:pos="-197"/>
                <w:tab w:val="left" w:pos="0"/>
                <w:tab w:val="left" w:pos="370"/>
                <w:tab w:val="left" w:pos="2922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Обеспечение доступности транспортных услуг.</w:t>
            </w:r>
          </w:p>
        </w:tc>
      </w:tr>
      <w:tr w:rsidR="001745DB" w:rsidRPr="001745DB" w:rsidTr="001745DB">
        <w:trPr>
          <w:trHeight w:val="9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napToGrid w:val="0"/>
              <w:spacing w:after="0" w:line="240" w:lineRule="auto"/>
              <w:ind w:left="-25" w:right="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Целевые показатели</w:t>
            </w:r>
          </w:p>
          <w:p w:rsidR="001745DB" w:rsidRPr="001745DB" w:rsidRDefault="001745DB" w:rsidP="001745DB">
            <w:pPr>
              <w:suppressAutoHyphens/>
              <w:snapToGrid w:val="0"/>
              <w:spacing w:after="0" w:line="240" w:lineRule="auto"/>
              <w:ind w:left="-25" w:right="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(индикаторы)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-197"/>
                <w:tab w:val="left" w:pos="236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объектов коммунального хозяйства,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1745DB">
              <w:rPr>
                <w:rFonts w:ascii="Times New Roman" w:eastAsia="Calibri" w:hAnsi="Times New Roman" w:cs="Times New Roman"/>
                <w:sz w:val="28"/>
                <w:szCs w:val="28"/>
              </w:rPr>
              <w:t>на которых проведен ремонт (капитальный ремонт), ед.</w:t>
            </w:r>
            <w:r w:rsidRPr="0017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-197"/>
                <w:tab w:val="left" w:pos="236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</w:t>
            </w:r>
            <w:r w:rsidRPr="001745DB">
              <w:rPr>
                <w:rFonts w:ascii="Times New Roman" w:eastAsia="Calibri" w:hAnsi="Times New Roman" w:cs="Times New Roman"/>
                <w:sz w:val="28"/>
                <w:szCs w:val="28"/>
              </w:rPr>
              <w:t>ротяженность тепловых сетей (участков тепловых сетей), на которых проведен капитальный ремонт, м.</w:t>
            </w:r>
            <w:r w:rsidRPr="001745D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-197"/>
                <w:tab w:val="left" w:pos="230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Протяженность отремонтированных объектов инженерной инфраструктуры: воздушных электролиний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</w:r>
            <w:r w:rsidRPr="001745D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и линий наружного освещения, м.</w:t>
            </w:r>
            <w:r w:rsidRPr="00174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-197"/>
                <w:tab w:val="left" w:pos="230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МКД, в которых установлены приспособления для беспрепятственного передвижения инвалидов – колясочников, ед.</w:t>
            </w:r>
            <w:bookmarkStart w:id="0" w:name="_Hlk89854517"/>
            <w:r w:rsidRPr="001745DB">
              <w:rPr>
                <w:rFonts w:ascii="Calibri" w:eastAsia="Calibri" w:hAnsi="Calibri" w:cs="Calibri"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-197"/>
                <w:tab w:val="left" w:pos="236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Количество МКД, имеющих статус культурного наследия, на которых проведены капитальные ремонты, ед.</w:t>
            </w:r>
            <w:bookmarkEnd w:id="0"/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236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скверов и парков, на которых обеспечено надлежащее содержание, шт.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236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установленных лестниц, шт.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236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отремонтированных</w:t>
            </w: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лестниц, шт.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378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ливневых канализаций, в отношении которых проведены ремонт и капитальный ремонт, а также устройство (в том числе проектирование), шт.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378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Площадь скверов, подвергшихся противоклещевой обработке, га.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236"/>
                <w:tab w:val="left" w:pos="378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отловленных животных без владельцев, голов.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236"/>
                <w:tab w:val="left" w:pos="378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демонтированных рекламных конструкций, шт.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236"/>
                <w:tab w:val="left" w:pos="378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Потребленная электроэнергия, расходуемая на уличное </w:t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освещение, тыс. кВт.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236"/>
                <w:tab w:val="left" w:pos="378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муниципальных</w:t>
            </w: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1745DB" w:rsidRPr="001745DB" w:rsidRDefault="001745DB" w:rsidP="001745DB">
            <w:pPr>
              <w:numPr>
                <w:ilvl w:val="0"/>
                <w:numId w:val="4"/>
              </w:numPr>
              <w:tabs>
                <w:tab w:val="left" w:pos="236"/>
                <w:tab w:val="left" w:pos="378"/>
                <w:tab w:val="left" w:pos="470"/>
              </w:tabs>
              <w:suppressAutoHyphens/>
              <w:spacing w:after="0" w:line="240" w:lineRule="auto"/>
              <w:ind w:left="86" w:right="87" w:firstLine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</w:t>
            </w: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муниципальных маршрутов регулярных перевозок пассажиров и провоза багажа автомобильным транспортом общего пользования в городском сообщении по регулируемому тарифу, маршрут.</w:t>
            </w:r>
          </w:p>
        </w:tc>
      </w:tr>
      <w:tr w:rsidR="001745DB" w:rsidRPr="001745DB" w:rsidTr="001745DB">
        <w:trPr>
          <w:trHeight w:val="548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Этапы и сроки реализации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2024-2026 годы</w:t>
            </w:r>
          </w:p>
        </w:tc>
      </w:tr>
      <w:tr w:rsidR="001745DB" w:rsidRPr="001745DB" w:rsidTr="001745DB">
        <w:trPr>
          <w:trHeight w:val="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Объемы финансовых ресурсов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Общий </w:t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ar-SA"/>
              </w:rPr>
              <w:t xml:space="preserve">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ar-SA"/>
              </w:rPr>
              <w:br/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ar-SA"/>
              </w:rPr>
              <w:t>на 2024-2026 годы – 1 307 661,3 тыс. рублей: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Местный бюджет – 861 141,1 тыс. рублей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Областной бюджет – 382 873,2 тыс. рублей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Федеральный бюджет – 63 647 тыс. рублей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Общий объем финансирования в 2024 году –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490 477,3 тыс. рублей: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Местный бюджет – 294 380,1 тыс. рублей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Областной бюджет – 132 450,2 тыс. рублей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Федеральный бюджет – 63 647,0 тыс. рублей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Общий объем финансирования в 2025 году –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408 592,0 тыс. рублей: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Местный бюджет – 283 380,5 тыс. рублей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Областной бюджет – 125 211,5 тыс. рублей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Общий объем финансирования в 2026 году –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408 592,0 тыс. рублей: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Местный бюджет – 283 380,5 тыс. рублей</w:t>
            </w:r>
          </w:p>
          <w:p w:rsidR="001745DB" w:rsidRPr="001745DB" w:rsidRDefault="001745DB" w:rsidP="001745DB">
            <w:pPr>
              <w:suppressAutoHyphens/>
              <w:spacing w:after="0" w:line="240" w:lineRule="auto"/>
              <w:ind w:left="94"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Областной бюджет – 125 211,5 тыс. рублей</w:t>
            </w:r>
          </w:p>
        </w:tc>
      </w:tr>
      <w:tr w:rsidR="001745DB" w:rsidRPr="001745DB" w:rsidTr="001745DB">
        <w:trPr>
          <w:trHeight w:val="217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Ожидаемые результаты реализации Подпрограммы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DB" w:rsidRPr="001745DB" w:rsidRDefault="001745DB" w:rsidP="001745DB">
            <w:pPr>
              <w:numPr>
                <w:ilvl w:val="1"/>
                <w:numId w:val="3"/>
              </w:numPr>
              <w:tabs>
                <w:tab w:val="left" w:pos="228"/>
                <w:tab w:val="left" w:pos="370"/>
                <w:tab w:val="left" w:pos="3347"/>
              </w:tabs>
              <w:suppressAutoHyphens/>
              <w:snapToGrid w:val="0"/>
              <w:spacing w:after="0" w:line="240" w:lineRule="auto"/>
              <w:ind w:left="86" w:right="86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Достижение уровня удовлетворенности населения организацией транспортного обслуживания до 50,0 %</w:t>
            </w:r>
            <w:r w:rsidRPr="001745DB">
              <w:rPr>
                <w:rFonts w:ascii="Times New Roman" w:eastAsia="Times New Roman" w:hAnsi="Times New Roman" w:cs="Times New Roman"/>
                <w:color w:val="000000"/>
                <w:spacing w:val="-6"/>
                <w:kern w:val="1"/>
                <w:sz w:val="28"/>
                <w:szCs w:val="28"/>
                <w:lang w:eastAsia="ar-SA"/>
              </w:rPr>
              <w:t>.</w:t>
            </w:r>
          </w:p>
          <w:p w:rsidR="001745DB" w:rsidRPr="001745DB" w:rsidRDefault="001745DB" w:rsidP="001745DB">
            <w:pPr>
              <w:numPr>
                <w:ilvl w:val="1"/>
                <w:numId w:val="3"/>
              </w:numPr>
              <w:tabs>
                <w:tab w:val="left" w:pos="228"/>
                <w:tab w:val="left" w:pos="370"/>
                <w:tab w:val="left" w:pos="3347"/>
              </w:tabs>
              <w:suppressAutoHyphens/>
              <w:snapToGrid w:val="0"/>
              <w:spacing w:after="0" w:line="240" w:lineRule="auto"/>
              <w:ind w:left="86" w:right="86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Достижение уровня удовлетворенности населения качеством предоставления жилищно-коммунальных услуг до 42,0 %</w:t>
            </w:r>
            <w:r w:rsidRPr="001745DB">
              <w:rPr>
                <w:rFonts w:ascii="Times New Roman" w:eastAsia="Times New Roman" w:hAnsi="Times New Roman" w:cs="Times New Roman"/>
                <w:color w:val="000000"/>
                <w:spacing w:val="-6"/>
                <w:kern w:val="1"/>
                <w:sz w:val="28"/>
                <w:szCs w:val="28"/>
                <w:lang w:eastAsia="ar-SA"/>
              </w:rPr>
              <w:t>.</w:t>
            </w:r>
          </w:p>
          <w:p w:rsidR="001745DB" w:rsidRPr="001745DB" w:rsidRDefault="001745DB" w:rsidP="001745DB">
            <w:pPr>
              <w:numPr>
                <w:ilvl w:val="1"/>
                <w:numId w:val="3"/>
              </w:numPr>
              <w:tabs>
                <w:tab w:val="left" w:pos="228"/>
                <w:tab w:val="left" w:pos="370"/>
                <w:tab w:val="left" w:pos="3347"/>
              </w:tabs>
              <w:suppressAutoHyphens/>
              <w:snapToGrid w:val="0"/>
              <w:spacing w:after="0" w:line="240" w:lineRule="auto"/>
              <w:ind w:left="86" w:right="86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Достижение уровня удовлетворенности населения благоустройством территории округа до 41,0 %</w:t>
            </w:r>
            <w:r w:rsidRPr="001745DB">
              <w:rPr>
                <w:rFonts w:ascii="Times New Roman" w:eastAsia="Times New Roman" w:hAnsi="Times New Roman" w:cs="Times New Roman"/>
                <w:color w:val="000000"/>
                <w:spacing w:val="-6"/>
                <w:kern w:val="1"/>
                <w:sz w:val="28"/>
                <w:szCs w:val="28"/>
                <w:lang w:eastAsia="ar-SA"/>
              </w:rPr>
              <w:t>.</w:t>
            </w:r>
          </w:p>
        </w:tc>
      </w:tr>
    </w:tbl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 xml:space="preserve">Раздел 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 w:eastAsia="ar-SA"/>
        </w:rPr>
        <w:t>I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. Характеристика сферы реализации подпрограммы, </w:t>
      </w: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описание основных проблем в сфере жилищно-коммунального хозяйства</w:t>
      </w: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numPr>
          <w:ilvl w:val="0"/>
          <w:numId w:val="7"/>
        </w:numPr>
        <w:tabs>
          <w:tab w:val="left" w:pos="0"/>
          <w:tab w:val="left" w:pos="567"/>
          <w:tab w:val="left" w:pos="851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bookmarkStart w:id="1" w:name="_Hlk149551623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Текущее состояние ЖКХ, объектов коммунальной инфраструктуры, организация транспортного обслуживания и благоустройство округа характеризуется следующими основными моментами.</w:t>
      </w:r>
    </w:p>
    <w:p w:rsidR="001745DB" w:rsidRPr="001745DB" w:rsidRDefault="001745DB" w:rsidP="001745DB">
      <w:pPr>
        <w:numPr>
          <w:ilvl w:val="0"/>
          <w:numId w:val="7"/>
        </w:numPr>
        <w:tabs>
          <w:tab w:val="left" w:pos="0"/>
          <w:tab w:val="left" w:pos="567"/>
          <w:tab w:val="left" w:pos="851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 области объектов коммунальной инфраструктуры (организация электро-, тепло-, и водоснабжения населения, водоотведения):</w:t>
      </w:r>
    </w:p>
    <w:p w:rsidR="001745DB" w:rsidRPr="001745DB" w:rsidRDefault="001745DB" w:rsidP="001745DB">
      <w:pPr>
        <w:tabs>
          <w:tab w:val="left" w:pos="0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Качество оказания коммунальных услуг находится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на неудовлетворительном уровне и не соответствует не только потребностям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1745DB" w:rsidRPr="001745DB" w:rsidRDefault="001745DB" w:rsidP="001745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1) 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 долгосрочного планирования развития систем коммунальной инфраструктуры.</w:t>
      </w:r>
    </w:p>
    <w:p w:rsidR="001745DB" w:rsidRPr="001745DB" w:rsidRDefault="001745DB" w:rsidP="001745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2) 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Морально-технический износ муниципальных объектов жилищно-коммунальной инфраструктуры.</w:t>
      </w:r>
    </w:p>
    <w:p w:rsidR="001745DB" w:rsidRPr="001745DB" w:rsidRDefault="001745DB" w:rsidP="001745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3) Постоянный рост тарифов на энергетические ресурсы.</w:t>
      </w:r>
    </w:p>
    <w:p w:rsidR="001745DB" w:rsidRPr="001745DB" w:rsidRDefault="001745DB" w:rsidP="001745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4) Неэффективный, расточительный расход энергетических ресурсов.</w:t>
      </w:r>
    </w:p>
    <w:p w:rsidR="001745DB" w:rsidRPr="001745DB" w:rsidRDefault="001745DB" w:rsidP="001745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Для повышения </w:t>
      </w:r>
      <w:proofErr w:type="spellStart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энергоэффективности</w:t>
      </w:r>
      <w:proofErr w:type="spellEnd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жилищно-коммунального сектора округа необходимо учитывать объемы потребления энергетических ресурсов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 бюджетной сфере, жилищном фонде, на предприятиях коммунального комплекса; организовать систему мониторинга и управления процессами </w:t>
      </w:r>
      <w:proofErr w:type="spellStart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энерго</w:t>
      </w:r>
      <w:proofErr w:type="spellEnd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- и </w:t>
      </w:r>
      <w:proofErr w:type="spellStart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ресурсообеспечения</w:t>
      </w:r>
      <w:proofErr w:type="spellEnd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в бюджетной сфере и жилищном фонде, а также нормативно-законодательное, организационное и информационное обеспечение мероприятий по повышению </w:t>
      </w:r>
      <w:proofErr w:type="spellStart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энергоэффективности</w:t>
      </w:r>
      <w:proofErr w:type="spellEnd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1745DB" w:rsidRPr="001745DB" w:rsidRDefault="001745DB" w:rsidP="001745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Для обеспечения сбалансированного планового развития систем коммунальной инфраструктуры должны быть скоординированы механизмы территориального и инвестиционного планирования посредством разработки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и регулярной актуализации перспективных схем </w:t>
      </w:r>
      <w:proofErr w:type="spellStart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ресурсоснабжения</w:t>
      </w:r>
      <w:proofErr w:type="spellEnd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, программы комплексного развития систем коммунальной инфраструктуры округа.</w:t>
      </w:r>
    </w:p>
    <w:p w:rsidR="001745DB" w:rsidRPr="001745DB" w:rsidRDefault="001745DB" w:rsidP="001745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по модернизации и капитальному ремонту объектов жилищно-коммунальной инфраструктуры.</w:t>
      </w:r>
    </w:p>
    <w:p w:rsidR="001745DB" w:rsidRPr="001745DB" w:rsidRDefault="001745DB" w:rsidP="001745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Реализация мероприятий Подпрограммы позволит:</w:t>
      </w:r>
    </w:p>
    <w:p w:rsidR="001745DB" w:rsidRPr="001745DB" w:rsidRDefault="001745DB" w:rsidP="001745DB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Создать условия для планового развития жилищно-коммунального комплекса округа.</w:t>
      </w:r>
    </w:p>
    <w:p w:rsidR="001745DB" w:rsidRPr="001745DB" w:rsidRDefault="001745DB" w:rsidP="001745DB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Предотвратить снижение надежности жизнеобеспечивающих систем водоснабжения, водоотведения, теплоснабжения, электроснабжения.</w:t>
      </w:r>
    </w:p>
    <w:p w:rsidR="001745DB" w:rsidRPr="001745DB" w:rsidRDefault="001745DB" w:rsidP="001745DB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Повысить качество предоставляемых коммунальных услуг и создать более комфортные условия для проживания населения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1745DB" w:rsidRPr="001745DB" w:rsidRDefault="001745DB" w:rsidP="001745DB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Содействовать созданию благоприятных условий для развития округа.</w:t>
      </w:r>
    </w:p>
    <w:p w:rsidR="001745DB" w:rsidRPr="001745DB" w:rsidRDefault="001745DB" w:rsidP="001745DB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Организация транспортного обслуживания: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 xml:space="preserve">Златоустовский городской округ имеет развитую сеть транспортного сообщения, представленную автомобильным и электротранспортом.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Все население Златоустовского городского округа охвачено транспортным обслуживанием.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На территории округа действуют 3 муниципальных маршрута регулярных перевозок пассажиров и провоза багажа электротранспортом (трамвай)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и 9 муниципальных маршрутов регулярных перевозок пассажиров и провоза багажа автомобильным транспортом общего пользования в городском сообщении.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Перевозки пассажиров и багажа автомобильным и электротранспортом (трамвай) на территории округа осуществляет Муниципальное унитарное предприятие «Автохозяйство Администрации Златоустовского городского округа».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льгота по тарифам на проезд автомобильным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и электротранспортом общего пользования по </w:t>
      </w:r>
      <w:proofErr w:type="spellStart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внутримуниципальной</w:t>
      </w:r>
      <w:proofErr w:type="spellEnd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маршрутной сети,</w:t>
      </w:r>
      <w:r w:rsidRPr="001745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которая возмещается транспортной организации из местного бюджета.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Согласно постановлению Администрации Златоустовского городского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округа от 25.10.2016 г. № 460-П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«Об установлении на территории Златоустовского городского округа права льготного проезда отдельным категориям граждан и размера льготы по проезду» право льготного проезда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  <w:t xml:space="preserve">на автомобильном 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и электротранспорте общего пользования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по </w:t>
      </w:r>
      <w:proofErr w:type="spellStart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внутримуниципальной</w:t>
      </w:r>
      <w:proofErr w:type="spellEnd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маршрутной сети по регулируемым тарифам имеют отдельные категории граждан.</w:t>
      </w:r>
    </w:p>
    <w:p w:rsidR="001745DB" w:rsidRPr="001745DB" w:rsidRDefault="001745DB" w:rsidP="001745DB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Организация благоустройства на территории округа: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На территории округа ежедневно ведутся работы по содержанию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и благоустройству территорий скверов и парков, пешеходных зон, общественных территорий, а также межквартальных и внутриквартальных территорий (тротуары, лестницы, ливневые канализации, пешеходные дорожки). 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Ежегодно в рамках муниципального задания проводятся следующих работы:</w:t>
      </w:r>
    </w:p>
    <w:p w:rsidR="001745DB" w:rsidRPr="001745DB" w:rsidRDefault="001745DB" w:rsidP="001745D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текущее содержание скверов и парков (озеленение и благ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оустройство) – 359,9 тыс. кв. метра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;</w:t>
      </w:r>
    </w:p>
    <w:p w:rsidR="001745DB" w:rsidRPr="001745DB" w:rsidRDefault="001745DB" w:rsidP="001745D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текущее содержание объектов озеленения улично-дорожной сети (озеленение и благоу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стройство) – 1 866,9 тыс. кв. метра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;</w:t>
      </w:r>
    </w:p>
    <w:p w:rsidR="001745DB" w:rsidRPr="001745DB" w:rsidRDefault="001745DB" w:rsidP="001745D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текущее содержание межквартальных и внутриквартальных территорий (озеленение и благ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оустройство) – 331,6 тыс. кв. метра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;</w:t>
      </w:r>
    </w:p>
    <w:p w:rsidR="001745DB" w:rsidRPr="001745DB" w:rsidRDefault="001745DB" w:rsidP="001745D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текущее содержание межквартальных и внутриквартальных территорий (тротуары, лестницы, ливневые канализации, пешеходные дорожки) –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1 275,4 тыс. кв. м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етра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.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val="x-none"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Также на территории округа проводятся мероприятия при осуществлении деятельности по обращению с животными без владельцев, предусмотренные Законом Челябинской области от 30.12.2019 г. № 72-ЗО «О наделении органов местного самоуправления отдельными государственными полномочиями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lastRenderedPageBreak/>
        <w:t xml:space="preserve">по организации мероприятий при осуществлении деятельности по обращению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с животными без владельцев», в том числе отлов животных без владельцев,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их транспортировка и немедленная передача в приюты для животных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и мероприятия, проводимые в приютах для животных.</w:t>
      </w:r>
    </w:p>
    <w:bookmarkEnd w:id="1"/>
    <w:p w:rsidR="001745DB" w:rsidRPr="001745DB" w:rsidRDefault="001745DB" w:rsidP="001745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745DB" w:rsidRPr="001745DB" w:rsidRDefault="001745DB" w:rsidP="001745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Раздел </w:t>
      </w:r>
      <w:r w:rsidRPr="001745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II</w:t>
      </w:r>
      <w:r w:rsidRPr="001745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Приоритеты муниципальной политики в сфере реализации </w:t>
      </w:r>
    </w:p>
    <w:p w:rsidR="001745DB" w:rsidRPr="001745DB" w:rsidRDefault="001745DB" w:rsidP="001745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подпрограммы, цели, задачи и показатели достижения целей </w:t>
      </w:r>
    </w:p>
    <w:p w:rsidR="001745DB" w:rsidRPr="001745DB" w:rsidRDefault="001745DB" w:rsidP="001745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решения задач, описание основных ожидаемых конечных результатов </w:t>
      </w:r>
    </w:p>
    <w:p w:rsidR="001745DB" w:rsidRPr="001745DB" w:rsidRDefault="001745DB" w:rsidP="001745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Подпрограммы, сроков и контрольных этапов реализации Подпрограммы</w:t>
      </w:r>
    </w:p>
    <w:p w:rsidR="001745DB" w:rsidRPr="001745DB" w:rsidRDefault="001745DB" w:rsidP="001745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745DB" w:rsidRPr="001745DB" w:rsidRDefault="001745DB" w:rsidP="001745DB">
      <w:pPr>
        <w:numPr>
          <w:ilvl w:val="0"/>
          <w:numId w:val="7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Приоритеты и цели политики округа в сфере ЖКХ определены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стратегии социально-экономического развития округа до 2030 года.</w:t>
      </w:r>
    </w:p>
    <w:p w:rsidR="001745DB" w:rsidRPr="001745DB" w:rsidRDefault="001745DB" w:rsidP="001745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Основной целью Подпрограммы является создание благоприятной среды для безопасных и комфортных условий проживания населения округа.</w:t>
      </w:r>
    </w:p>
    <w:p w:rsidR="001745DB" w:rsidRPr="001745DB" w:rsidRDefault="001745DB" w:rsidP="001745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Подпрограмма предусматривает решение следующих задач:</w:t>
      </w:r>
    </w:p>
    <w:p w:rsidR="001745DB" w:rsidRPr="001745DB" w:rsidRDefault="001745DB" w:rsidP="001745DB">
      <w:pPr>
        <w:numPr>
          <w:ilvl w:val="0"/>
          <w:numId w:val="5"/>
        </w:numPr>
        <w:tabs>
          <w:tab w:val="left" w:pos="-197"/>
          <w:tab w:val="left" w:pos="228"/>
          <w:tab w:val="left" w:pos="851"/>
          <w:tab w:val="left" w:pos="1134"/>
          <w:tab w:val="left" w:pos="2922"/>
        </w:tabs>
        <w:suppressAutoHyphens/>
        <w:snapToGrid w:val="0"/>
        <w:spacing w:after="0" w:line="240" w:lineRule="auto"/>
        <w:ind w:left="0" w:right="87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Модернизация объектов коммунальной инфраструктуры.</w:t>
      </w:r>
    </w:p>
    <w:p w:rsidR="001745DB" w:rsidRPr="001745DB" w:rsidRDefault="001745DB" w:rsidP="001745DB">
      <w:pPr>
        <w:numPr>
          <w:ilvl w:val="0"/>
          <w:numId w:val="5"/>
        </w:numPr>
        <w:tabs>
          <w:tab w:val="left" w:pos="-197"/>
          <w:tab w:val="left" w:pos="228"/>
          <w:tab w:val="left" w:pos="851"/>
          <w:tab w:val="left" w:pos="1134"/>
          <w:tab w:val="left" w:pos="2922"/>
        </w:tabs>
        <w:suppressAutoHyphens/>
        <w:snapToGrid w:val="0"/>
        <w:spacing w:after="0" w:line="240" w:lineRule="auto"/>
        <w:ind w:left="0" w:right="87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bCs/>
          <w:iCs/>
          <w:color w:val="000000"/>
          <w:kern w:val="1"/>
          <w:sz w:val="28"/>
          <w:szCs w:val="28"/>
          <w:lang w:eastAsia="ar-SA"/>
        </w:rPr>
        <w:t xml:space="preserve">Организация водоснабжения, водоотведения, теплоснабжения </w:t>
      </w:r>
      <w:r>
        <w:rPr>
          <w:rFonts w:ascii="Times New Roman" w:eastAsia="Times New Roman" w:hAnsi="Times New Roman" w:cs="Times New Roman"/>
          <w:bCs/>
          <w:iCs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bCs/>
          <w:iCs/>
          <w:color w:val="000000"/>
          <w:kern w:val="1"/>
          <w:sz w:val="28"/>
          <w:szCs w:val="28"/>
          <w:lang w:eastAsia="ar-SA"/>
        </w:rPr>
        <w:t>и электроснабжения населения.</w:t>
      </w:r>
    </w:p>
    <w:p w:rsidR="001745DB" w:rsidRPr="001745DB" w:rsidRDefault="001745DB" w:rsidP="001745DB">
      <w:pPr>
        <w:numPr>
          <w:ilvl w:val="0"/>
          <w:numId w:val="5"/>
        </w:numPr>
        <w:tabs>
          <w:tab w:val="left" w:pos="-197"/>
          <w:tab w:val="left" w:pos="228"/>
          <w:tab w:val="left" w:pos="851"/>
          <w:tab w:val="left" w:pos="1134"/>
          <w:tab w:val="left" w:pos="2922"/>
        </w:tabs>
        <w:suppressAutoHyphens/>
        <w:snapToGrid w:val="0"/>
        <w:spacing w:after="0" w:line="240" w:lineRule="auto"/>
        <w:ind w:left="0" w:right="87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Создание благоприятных условий для проживания и отдыха жителей округа.</w:t>
      </w:r>
    </w:p>
    <w:p w:rsidR="001745DB" w:rsidRPr="001745DB" w:rsidRDefault="001745DB" w:rsidP="001745DB">
      <w:pPr>
        <w:numPr>
          <w:ilvl w:val="0"/>
          <w:numId w:val="5"/>
        </w:numPr>
        <w:tabs>
          <w:tab w:val="left" w:pos="-197"/>
          <w:tab w:val="left" w:pos="228"/>
          <w:tab w:val="left" w:pos="851"/>
          <w:tab w:val="left" w:pos="1134"/>
          <w:tab w:val="left" w:pos="2922"/>
        </w:tabs>
        <w:suppressAutoHyphens/>
        <w:snapToGrid w:val="0"/>
        <w:spacing w:after="0" w:line="240" w:lineRule="auto"/>
        <w:ind w:left="0" w:right="87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Обеспечение доступности транспортных услуг.</w:t>
      </w:r>
    </w:p>
    <w:p w:rsidR="001745DB" w:rsidRPr="001745DB" w:rsidRDefault="001745DB" w:rsidP="001745DB">
      <w:pPr>
        <w:numPr>
          <w:ilvl w:val="0"/>
          <w:numId w:val="7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 результате реализации Подпрограммы планируется достигнуть следующих целевых индикаторов (Таблица 1):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Таблица 1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850"/>
        <w:gridCol w:w="1276"/>
        <w:gridCol w:w="1274"/>
        <w:gridCol w:w="1136"/>
      </w:tblGrid>
      <w:tr w:rsidR="001745DB" w:rsidRPr="001745DB" w:rsidTr="001745DB">
        <w:trPr>
          <w:trHeight w:val="20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tabs>
                <w:tab w:val="left" w:pos="248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Наименование</w:t>
            </w:r>
          </w:p>
          <w:p w:rsidR="001745DB" w:rsidRPr="001745DB" w:rsidRDefault="001745DB" w:rsidP="001745DB">
            <w:pPr>
              <w:widowControl w:val="0"/>
              <w:tabs>
                <w:tab w:val="left" w:pos="248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индикативных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Ед. изм.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Плановые показатели </w:t>
            </w:r>
          </w:p>
          <w:p w:rsidR="001745DB" w:rsidRPr="001745DB" w:rsidRDefault="001745DB" w:rsidP="001745DB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Подпрограммы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tabs>
                <w:tab w:val="left" w:pos="248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2026 год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numPr>
                <w:ilvl w:val="0"/>
                <w:numId w:val="9"/>
              </w:numPr>
              <w:tabs>
                <w:tab w:val="left" w:pos="366"/>
              </w:tabs>
              <w:suppressAutoHyphens/>
              <w:autoSpaceDE w:val="0"/>
              <w:snapToGrid w:val="0"/>
              <w:spacing w:after="0" w:line="228" w:lineRule="auto"/>
              <w:ind w:left="82" w:firstLine="5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Количество объектов коммунального хозяйства, на которых проведен ремонт (капитальный ремонт)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0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numPr>
                <w:ilvl w:val="0"/>
                <w:numId w:val="9"/>
              </w:numPr>
              <w:tabs>
                <w:tab w:val="left" w:pos="-197"/>
                <w:tab w:val="left" w:pos="370"/>
                <w:tab w:val="left" w:pos="2922"/>
              </w:tabs>
              <w:suppressAutoHyphens/>
              <w:spacing w:after="0" w:line="240" w:lineRule="auto"/>
              <w:ind w:left="82" w:right="87" w:firstLine="5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</w:t>
            </w:r>
            <w:r w:rsidRPr="001745DB">
              <w:rPr>
                <w:rFonts w:ascii="Times New Roman" w:eastAsia="Calibri" w:hAnsi="Times New Roman" w:cs="Times New Roman"/>
                <w:sz w:val="28"/>
                <w:szCs w:val="28"/>
              </w:rPr>
              <w:t>ротяженность тепловых сетей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74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(участков тепловых сетей), на которых проведен капитальный ремонт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1 716,0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0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numPr>
                <w:ilvl w:val="0"/>
                <w:numId w:val="9"/>
              </w:numPr>
              <w:tabs>
                <w:tab w:val="left" w:pos="285"/>
                <w:tab w:val="left" w:pos="321"/>
              </w:tabs>
              <w:suppressAutoHyphens/>
              <w:autoSpaceDE w:val="0"/>
              <w:snapToGrid w:val="0"/>
              <w:spacing w:after="0" w:line="228" w:lineRule="auto"/>
              <w:ind w:left="82" w:right="87" w:firstLine="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Протяженность отремонтированных объектов инженерной инфраструктуры: воздушных электролиний и линий наружного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1 200,0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uppressAutoHyphens/>
              <w:autoSpaceDE w:val="0"/>
              <w:snapToGrid w:val="0"/>
              <w:spacing w:after="0" w:line="228" w:lineRule="auto"/>
              <w:ind w:left="82" w:right="87" w:firstLine="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Количество МКД, в которых установлены приспособления для беспрепятственного передвижения инвалидов – колясочников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10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numPr>
                <w:ilvl w:val="0"/>
                <w:numId w:val="9"/>
              </w:numPr>
              <w:tabs>
                <w:tab w:val="left" w:pos="-197"/>
                <w:tab w:val="left" w:pos="230"/>
                <w:tab w:val="left" w:pos="372"/>
              </w:tabs>
              <w:suppressAutoHyphens/>
              <w:spacing w:after="0" w:line="240" w:lineRule="auto"/>
              <w:ind w:left="82" w:right="87" w:firstLine="5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 xml:space="preserve">Количество МКД, имеющих статус культурного наследия, на которых </w:t>
            </w:r>
            <w:r w:rsidRPr="001745DB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lastRenderedPageBreak/>
              <w:t>проведены капитальные ремонты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spacing w:val="-6"/>
                <w:kern w:val="1"/>
                <w:sz w:val="28"/>
                <w:szCs w:val="28"/>
                <w:lang w:eastAsia="ar-SA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0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uppressAutoHyphens/>
              <w:autoSpaceDE w:val="0"/>
              <w:snapToGrid w:val="0"/>
              <w:spacing w:after="0" w:line="228" w:lineRule="auto"/>
              <w:ind w:left="82" w:right="86" w:firstLine="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 xml:space="preserve">Количество скверов и парков,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</w: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на которых обеспечено надлежащее 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24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uppressAutoHyphens/>
              <w:autoSpaceDE w:val="0"/>
              <w:snapToGrid w:val="0"/>
              <w:spacing w:after="0" w:line="228" w:lineRule="auto"/>
              <w:ind w:left="82" w:right="86" w:firstLine="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установленных лестниц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after="0" w:line="240" w:lineRule="auto"/>
              <w:ind w:left="82" w:right="86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отремонтированных</w:t>
            </w:r>
          </w:p>
          <w:p w:rsidR="001745DB" w:rsidRPr="001745DB" w:rsidRDefault="001745DB" w:rsidP="001745DB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ind w:left="82" w:right="86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лестниц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left="-62" w:right="-104" w:hanging="5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left="-62" w:right="-104" w:hanging="5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left="-62" w:right="-104" w:hanging="5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10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numPr>
                <w:ilvl w:val="0"/>
                <w:numId w:val="9"/>
              </w:numPr>
              <w:tabs>
                <w:tab w:val="left" w:pos="3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2" w:right="86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Количество ливневых канализаций,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br/>
            </w:r>
            <w:r w:rsidRPr="00174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отношении которых проведены ремонт и капитальный ремонт, а также устройство (в том числе проектирование)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5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numPr>
                <w:ilvl w:val="0"/>
                <w:numId w:val="9"/>
              </w:numPr>
              <w:tabs>
                <w:tab w:val="left" w:pos="5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2" w:right="86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Площадь скверов, подвергшихся противоклещевой обработке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8,8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8,8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numPr>
                <w:ilvl w:val="0"/>
                <w:numId w:val="9"/>
              </w:numPr>
              <w:tabs>
                <w:tab w:val="left" w:pos="5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2" w:right="86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отловленных животных без владельцев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105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numPr>
                <w:ilvl w:val="0"/>
                <w:numId w:val="9"/>
              </w:numPr>
              <w:tabs>
                <w:tab w:val="left" w:pos="-197"/>
                <w:tab w:val="left" w:pos="370"/>
                <w:tab w:val="left" w:pos="507"/>
              </w:tabs>
              <w:suppressAutoHyphens/>
              <w:spacing w:after="0" w:line="240" w:lineRule="auto"/>
              <w:ind w:left="82" w:right="86" w:firstLine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демонтированных рекламных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20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5DB" w:rsidRPr="001745DB" w:rsidRDefault="001745DB" w:rsidP="001745DB">
            <w:pPr>
              <w:numPr>
                <w:ilvl w:val="0"/>
                <w:numId w:val="9"/>
              </w:numPr>
              <w:tabs>
                <w:tab w:val="left" w:pos="-197"/>
                <w:tab w:val="left" w:pos="37"/>
                <w:tab w:val="left" w:pos="366"/>
              </w:tabs>
              <w:suppressAutoHyphens/>
              <w:spacing w:after="0" w:line="240" w:lineRule="auto"/>
              <w:ind w:left="82" w:right="86" w:firstLine="5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ru-RU"/>
              </w:rPr>
              <w:t>Потребленная электроэнергия, расходуемая на 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тыс. кВт.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3 062,3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3 062,3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3 062,3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numPr>
                <w:ilvl w:val="0"/>
                <w:numId w:val="9"/>
              </w:numPr>
              <w:tabs>
                <w:tab w:val="left" w:pos="-392"/>
                <w:tab w:val="left" w:pos="-197"/>
                <w:tab w:val="left" w:pos="366"/>
                <w:tab w:val="left" w:pos="507"/>
              </w:tabs>
              <w:suppressAutoHyphens/>
              <w:spacing w:after="0" w:line="240" w:lineRule="auto"/>
              <w:ind w:left="82" w:right="86" w:firstLine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муниципальных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45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маршрутов регулярных перевозок пассажиров и провоза багажа электротранспортом (трамвай)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1745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регулируемому тарифу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марш-рут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</w:tr>
      <w:tr w:rsidR="001745DB" w:rsidRPr="001745DB" w:rsidTr="001745DB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numPr>
                <w:ilvl w:val="0"/>
                <w:numId w:val="9"/>
              </w:numPr>
              <w:tabs>
                <w:tab w:val="left" w:pos="-392"/>
                <w:tab w:val="left" w:pos="-197"/>
                <w:tab w:val="left" w:pos="366"/>
                <w:tab w:val="left" w:pos="507"/>
              </w:tabs>
              <w:suppressAutoHyphens/>
              <w:spacing w:after="0" w:line="240" w:lineRule="auto"/>
              <w:ind w:left="82" w:right="86" w:firstLine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45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в городском сообщении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1745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регулируемому тарифу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марш-рут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DB" w:rsidRPr="001745DB" w:rsidRDefault="001745DB" w:rsidP="001745DB">
            <w:pPr>
              <w:widowControl w:val="0"/>
              <w:suppressAutoHyphens/>
              <w:autoSpaceDE w:val="0"/>
              <w:snapToGrid w:val="0"/>
              <w:spacing w:after="0" w:line="228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745D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9</w:t>
            </w:r>
          </w:p>
        </w:tc>
      </w:tr>
    </w:tbl>
    <w:p w:rsidR="001745DB" w:rsidRPr="001745DB" w:rsidRDefault="001745DB" w:rsidP="001745DB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bookmarkStart w:id="2" w:name="_Hlk149296197"/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Реализация мероприятий Подпрограммы приведет к достижению ожидаемых результатов:</w:t>
      </w:r>
    </w:p>
    <w:p w:rsidR="001745DB" w:rsidRPr="001745DB" w:rsidRDefault="001745DB" w:rsidP="001745DB">
      <w:pPr>
        <w:numPr>
          <w:ilvl w:val="0"/>
          <w:numId w:val="6"/>
        </w:numPr>
        <w:tabs>
          <w:tab w:val="left" w:pos="0"/>
          <w:tab w:val="left" w:pos="228"/>
          <w:tab w:val="left" w:pos="370"/>
          <w:tab w:val="left" w:pos="567"/>
          <w:tab w:val="left" w:pos="993"/>
          <w:tab w:val="left" w:pos="3347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Достижение уровня удовлетворенности населения организацией транспортного обслуживания до 50,0 %</w:t>
      </w:r>
      <w:r w:rsidRPr="001745DB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ar-SA"/>
        </w:rPr>
        <w:t>.</w:t>
      </w:r>
    </w:p>
    <w:p w:rsidR="001745DB" w:rsidRPr="001745DB" w:rsidRDefault="001745DB" w:rsidP="001745DB">
      <w:pPr>
        <w:numPr>
          <w:ilvl w:val="0"/>
          <w:numId w:val="6"/>
        </w:numPr>
        <w:tabs>
          <w:tab w:val="left" w:pos="0"/>
          <w:tab w:val="left" w:pos="228"/>
          <w:tab w:val="left" w:pos="370"/>
          <w:tab w:val="left" w:pos="567"/>
          <w:tab w:val="left" w:pos="993"/>
          <w:tab w:val="left" w:pos="3347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Достижение уровня удовлетворенности населения качеством предоставления жилищно-коммунальных услуг до 42,0 %</w:t>
      </w:r>
      <w:r w:rsidRPr="001745DB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ar-SA"/>
        </w:rPr>
        <w:t>.</w:t>
      </w:r>
    </w:p>
    <w:p w:rsidR="001745DB" w:rsidRPr="001745DB" w:rsidRDefault="001745DB" w:rsidP="001745DB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Достижение уровня удовлетворенности населения благоустройством территории округа до 41,0 %</w:t>
      </w:r>
      <w:r w:rsidRPr="001745DB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ar-SA"/>
        </w:rPr>
        <w:t>.</w:t>
      </w:r>
    </w:p>
    <w:p w:rsidR="001745DB" w:rsidRPr="001745DB" w:rsidRDefault="001745DB" w:rsidP="001745DB">
      <w:pPr>
        <w:numPr>
          <w:ilvl w:val="0"/>
          <w:numId w:val="7"/>
        </w:numPr>
        <w:tabs>
          <w:tab w:val="left" w:pos="0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Срок реализации Подпрограммы: 2024–2026 годы.</w:t>
      </w:r>
    </w:p>
    <w:p w:rsidR="001745DB" w:rsidRPr="001745DB" w:rsidRDefault="001745DB" w:rsidP="001745DB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Этапы реализации Подпрограммы не предусматриваются, так как мероприятия в рамках данной Подпрограммы будут реализовываться весь период.</w:t>
      </w:r>
    </w:p>
    <w:bookmarkEnd w:id="2"/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Раздел 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 w:eastAsia="ar-SA"/>
        </w:rPr>
        <w:t>III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 Характеристика основных мероприятий Подпрограммы</w:t>
      </w: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Перечень основных мероприятий Подпрограммы представлен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 приложении 1 к Подпрограмме.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Раздел 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 w:eastAsia="ar-SA"/>
        </w:rPr>
        <w:t>IV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 Информация об участии предприятий и организаций,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независимо от их организационно-правовой формы собственности,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а также внебюджетных фондов, в реализации Подпрограммы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Предприятия и организации, независимо от их организационно-правовой формы собственности, а также внебюджетные фонды, в реализации Подпрограммы не участвуют.</w:t>
      </w: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Раздел 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 w:eastAsia="ar-SA"/>
        </w:rPr>
        <w:t>VI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 Обоснование объема финансовых ресурсов,</w:t>
      </w: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необходимых для реализации Подпрограммы</w:t>
      </w:r>
    </w:p>
    <w:p w:rsidR="001745DB" w:rsidRPr="001745DB" w:rsidRDefault="001745DB" w:rsidP="0017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numPr>
          <w:ilvl w:val="0"/>
          <w:numId w:val="7"/>
        </w:numPr>
        <w:tabs>
          <w:tab w:val="left" w:pos="-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Оценка объема затрат на реализацию мероприятий Подпрограммы выполняется плановым методом, при котором объем ассигнований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на исполнение обязательств определяется на основании проектно-сметной документации с возможной корректировкой.</w:t>
      </w:r>
    </w:p>
    <w:p w:rsidR="001745DB" w:rsidRPr="001745DB" w:rsidRDefault="001745DB" w:rsidP="001745DB">
      <w:pPr>
        <w:numPr>
          <w:ilvl w:val="0"/>
          <w:numId w:val="7"/>
        </w:numPr>
        <w:tabs>
          <w:tab w:val="left" w:pos="-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Общий </w:t>
      </w:r>
      <w:r w:rsidRPr="001745D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ar-SA"/>
        </w:rPr>
        <w:t>объем финансирования Подпрограммы на 2024-2026 годы – 1 307 661,3 тыс. рублей: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Местный бюджет – 861 141,1 тыс. рублей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Областной бюджет – 382 873,2 тыс. рублей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Федеральный бюджет – 63 647 тыс. рублей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Общий объем финансирования в 2024 году – 490 477,3 тыс. рублей: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Местный бюджет – 294 380,1 тыс. рублей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Областной бюджет – 132 450,2 тыс. рублей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Федеральный бюджет – 63 647,0 тыс. рублей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Общий объем финансирования в 2025 году – 408 592,0 тыс. рублей: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Местный бюджет – 283 380,5 тыс. рублей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Областной бюджет – 125 211,5 тыс. рублей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Общий объем финансирования в 2026 году – 408 592,0 тыс. рублей: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Местный бюджет – 283 380,5 тыс. рублей</w:t>
      </w:r>
    </w:p>
    <w:p w:rsidR="001745DB" w:rsidRPr="001745DB" w:rsidRDefault="001745DB" w:rsidP="001745DB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Областной бюджет – 125 211,5 тыс. рублей</w:t>
      </w:r>
    </w:p>
    <w:p w:rsidR="001745DB" w:rsidRPr="001745DB" w:rsidRDefault="001745DB" w:rsidP="001745DB">
      <w:pPr>
        <w:numPr>
          <w:ilvl w:val="0"/>
          <w:numId w:val="7"/>
        </w:numPr>
        <w:tabs>
          <w:tab w:val="left" w:pos="-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Оценка эффективности расходования бюджетных средств производится ежегодно на основе использования системы целевых индикаторов (показателей) характеризующих:</w:t>
      </w:r>
    </w:p>
    <w:p w:rsidR="001745DB" w:rsidRPr="001745DB" w:rsidRDefault="001745DB" w:rsidP="001745DB">
      <w:pPr>
        <w:numPr>
          <w:ilvl w:val="2"/>
          <w:numId w:val="1"/>
        </w:numPr>
        <w:tabs>
          <w:tab w:val="left" w:pos="-142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Степень достижения целей, решения тактических задач.</w:t>
      </w:r>
    </w:p>
    <w:p w:rsidR="001745DB" w:rsidRPr="001745DB" w:rsidRDefault="001745DB" w:rsidP="001745DB">
      <w:pPr>
        <w:numPr>
          <w:ilvl w:val="2"/>
          <w:numId w:val="1"/>
        </w:numPr>
        <w:tabs>
          <w:tab w:val="left" w:pos="-142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Степень соответствия запланированному уровню затрат.</w:t>
      </w:r>
    </w:p>
    <w:p w:rsidR="001745DB" w:rsidRPr="001745DB" w:rsidRDefault="001745DB" w:rsidP="001745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Данная оценка эффективности обеспечит мониторинг динамики изменений показателей за оцениваемый период с целью уточнения задач и мероприятий Подпрограммы. Оценка эффективности Подпрограммы будет производиться путем сравнения значений целевых индикаторов текущего года с достигнутыми в предыдущий годы и установленными значениями на последующий период.</w:t>
      </w:r>
    </w:p>
    <w:p w:rsidR="001745DB" w:rsidRPr="001745DB" w:rsidRDefault="001745DB" w:rsidP="001745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Анализ оценки эффективности и результативности реализации Подпрограммы осуществляется и основывается на количественной оценке состояния отдельных показателей результативности (индикаторов результативности).</w:t>
      </w: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Раздел 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 w:eastAsia="ar-SA"/>
        </w:rPr>
        <w:t>VII</w:t>
      </w: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. Анализ рисков реализации Подпрограммы и описание мер </w:t>
      </w:r>
    </w:p>
    <w:p w:rsidR="001745DB" w:rsidRPr="001745DB" w:rsidRDefault="001745DB" w:rsidP="0017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управления рисками реализации Подпрограммы</w:t>
      </w:r>
    </w:p>
    <w:p w:rsidR="001745DB" w:rsidRPr="001745DB" w:rsidRDefault="001745DB" w:rsidP="0017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745DB" w:rsidRPr="001745DB" w:rsidRDefault="001745DB" w:rsidP="001745DB">
      <w:pPr>
        <w:numPr>
          <w:ilvl w:val="0"/>
          <w:numId w:val="7"/>
        </w:numPr>
        <w:tabs>
          <w:tab w:val="left" w:pos="0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При реализации настоящей Подпрограммы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Подпрограммы.</w:t>
      </w:r>
    </w:p>
    <w:p w:rsidR="001745DB" w:rsidRPr="001745DB" w:rsidRDefault="001745DB" w:rsidP="001745DB">
      <w:pPr>
        <w:tabs>
          <w:tab w:val="left" w:pos="0"/>
          <w:tab w:val="left" w:pos="567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Риски реализации Подпрограммы можно разделить на две группы:</w:t>
      </w:r>
    </w:p>
    <w:p w:rsidR="001745DB" w:rsidRPr="001745DB" w:rsidRDefault="001745DB" w:rsidP="001745DB">
      <w:pPr>
        <w:tabs>
          <w:tab w:val="left" w:pos="0"/>
          <w:tab w:val="left" w:pos="567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внутренние – относятся к сфере компетенции ответственного исполнителя Подпрограммы и исполнителей мероприятий Подпрограммы;</w:t>
      </w:r>
    </w:p>
    <w:p w:rsidR="001745DB" w:rsidRPr="001745DB" w:rsidRDefault="001745DB" w:rsidP="001745DB">
      <w:pPr>
        <w:tabs>
          <w:tab w:val="left" w:pos="0"/>
          <w:tab w:val="left" w:pos="567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внешние – наступление или не наступление данных рисков не зависит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от действий ответственного исполнителя Подпрограммы.</w:t>
      </w:r>
    </w:p>
    <w:p w:rsidR="001745DB" w:rsidRPr="001745DB" w:rsidRDefault="001745DB" w:rsidP="001745DB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17.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ab/>
        <w:t>Внутренние риски могут являться следствием:</w:t>
      </w:r>
    </w:p>
    <w:p w:rsidR="001745DB" w:rsidRPr="001745DB" w:rsidRDefault="001745DB" w:rsidP="001745DB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низкой исполнительской дисциплины ответственного исполнителя Подпрограммы, должностных лиц, ответственных за выполнение мероприятий Подпрограммы;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несвоевременных разработки, согласования и принятия документов, обеспечивающих выполнение мероприятий Подпрограммы;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недостаточной оперативности при наступлении внешних рисков реализации Подпрограммы.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Мерами управления внутренними рисками являются: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детальное планирование хода реализации Подпрограммы;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оперативный мониторинг выполнения мероприятий Подпрограммы, который выполняют ответственные исполнители мероприятий;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своевременная актуализация ежегодных мероприятий реализации Подпрограммы, в том числе корректировка состава и сроков исполнения мероприятий с сохранением ожидаемых результатов.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18. Внешние риски могут являться следствием: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lastRenderedPageBreak/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Подпрограммой.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В рамках Подпрограммы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19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.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Анализ и управление риском реализации Подпрограммы обеспечивает: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условия, в результате которых можно реализовать мероприятия, предусмотренные Подпрограммой на данный период;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постоянный учет всех факторов риска, влияющих на достижение цели Подпрограммы;</w:t>
      </w:r>
    </w:p>
    <w:p w:rsidR="001745DB" w:rsidRPr="001745DB" w:rsidRDefault="001745DB" w:rsidP="001745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1745DB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правильный учет факторов риска, их тщательный анализ и разумная политика по управлению ими.</w:t>
      </w:r>
    </w:p>
    <w:p w:rsidR="0095611E" w:rsidRDefault="0095611E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/>
    <w:p w:rsidR="00AD2977" w:rsidRDefault="00AD2977">
      <w:pPr>
        <w:rPr>
          <w:rFonts w:ascii="Times New Roman" w:hAnsi="Times New Roman" w:cs="Times New Roman"/>
        </w:rPr>
      </w:pPr>
    </w:p>
    <w:p w:rsidR="00AD2977" w:rsidRPr="00AD2977" w:rsidRDefault="00AD2977" w:rsidP="00AD2977">
      <w:pPr>
        <w:tabs>
          <w:tab w:val="left" w:pos="4962"/>
        </w:tabs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Приложение 4</w:t>
      </w:r>
    </w:p>
    <w:p w:rsidR="00AD2977" w:rsidRPr="00AD2977" w:rsidRDefault="00AD2977" w:rsidP="00AD2977">
      <w:pPr>
        <w:tabs>
          <w:tab w:val="left" w:pos="4962"/>
        </w:tabs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 муниципальной Программе</w:t>
      </w:r>
    </w:p>
    <w:p w:rsidR="00AD2977" w:rsidRPr="00AD2977" w:rsidRDefault="00AD2977" w:rsidP="00AD2977">
      <w:pPr>
        <w:tabs>
          <w:tab w:val="left" w:pos="4962"/>
        </w:tabs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«Обеспечение качественными </w:t>
      </w:r>
      <w:bookmarkStart w:id="3" w:name="_GoBack"/>
      <w:bookmarkEnd w:id="3"/>
      <w:r w:rsidRPr="00AD297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услугами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D297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жилищно-коммунального хозяйства населения, дорожной деятельности и транспорта</w:t>
      </w:r>
    </w:p>
    <w:p w:rsidR="00AD2977" w:rsidRPr="00AD2977" w:rsidRDefault="00AD2977" w:rsidP="00AD2977">
      <w:pPr>
        <w:tabs>
          <w:tab w:val="left" w:pos="4962"/>
        </w:tabs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Златоустовского городского округа»</w:t>
      </w:r>
    </w:p>
    <w:p w:rsidR="00AD2977" w:rsidRPr="00AD2977" w:rsidRDefault="00AD2977" w:rsidP="00AD2977">
      <w:pPr>
        <w:tabs>
          <w:tab w:val="left" w:pos="4962"/>
        </w:tabs>
        <w:suppressAutoHyphens/>
        <w:spacing w:after="0" w:line="240" w:lineRule="auto"/>
        <w:ind w:right="-424" w:firstLine="4395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</w:t>
      </w:r>
    </w:p>
    <w:p w:rsidR="00AD2977" w:rsidRPr="00AD2977" w:rsidRDefault="00AD2977" w:rsidP="00AD2977">
      <w:pPr>
        <w:suppressAutoHyphens/>
        <w:autoSpaceDE w:val="0"/>
        <w:spacing w:after="0" w:line="240" w:lineRule="auto"/>
        <w:ind w:left="4962" w:firstLine="439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D2977" w:rsidRPr="00AD2977" w:rsidRDefault="00AD2977" w:rsidP="00AD2977">
      <w:pPr>
        <w:tabs>
          <w:tab w:val="left" w:pos="4962"/>
        </w:tabs>
        <w:suppressAutoHyphens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28"/>
          <w:sz w:val="28"/>
          <w:szCs w:val="28"/>
          <w:lang w:val="x-none" w:eastAsia="ar-SA"/>
        </w:rPr>
      </w:pPr>
      <w:r w:rsidRPr="00AD2977">
        <w:rPr>
          <w:rFonts w:ascii="Times New Roman" w:eastAsia="Times New Roman" w:hAnsi="Times New Roman" w:cs="Times New Roman"/>
          <w:caps/>
          <w:kern w:val="28"/>
          <w:sz w:val="28"/>
          <w:szCs w:val="28"/>
          <w:lang w:val="x-none" w:eastAsia="ar-SA"/>
        </w:rPr>
        <w:t>Подпрограмма</w:t>
      </w:r>
    </w:p>
    <w:p w:rsidR="00AD2977" w:rsidRPr="00AD2977" w:rsidRDefault="00AD2977" w:rsidP="00AD297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28"/>
          <w:sz w:val="28"/>
          <w:szCs w:val="28"/>
          <w:lang w:val="x-none" w:eastAsia="ar-SA"/>
        </w:rPr>
      </w:pPr>
    </w:p>
    <w:p w:rsidR="00AD2977" w:rsidRPr="00AD2977" w:rsidRDefault="00AD2977" w:rsidP="00AD297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</w:pP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«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Организация дорожной деятельности 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 xml:space="preserve"> </w:t>
      </w:r>
    </w:p>
    <w:p w:rsidR="00AD2977" w:rsidRPr="00AD2977" w:rsidRDefault="00AD2977" w:rsidP="00AD297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</w:pP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в 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Златоустовско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>м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 xml:space="preserve"> городско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>м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 xml:space="preserve"> округ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>е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»</w:t>
      </w: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Паспорт Подпрограммы </w:t>
      </w:r>
    </w:p>
    <w:p w:rsidR="00AD2977" w:rsidRPr="00AD2977" w:rsidRDefault="00AD2977" w:rsidP="00AD297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</w:pP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«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Организация дорожной деятельности 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 xml:space="preserve"> </w:t>
      </w:r>
    </w:p>
    <w:p w:rsidR="00AD2977" w:rsidRPr="00AD2977" w:rsidRDefault="00AD2977" w:rsidP="00AD297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в 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Златоустовско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>м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 xml:space="preserve"> городско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>м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 xml:space="preserve"> округ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>е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ar-SA"/>
        </w:rPr>
        <w:t>»</w:t>
      </w:r>
      <w:r w:rsidRPr="00AD2977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 (далее – Подпрограмма)</w:t>
      </w:r>
    </w:p>
    <w:p w:rsidR="00AD2977" w:rsidRPr="00AD2977" w:rsidRDefault="00AD2977" w:rsidP="00AD297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AD2977" w:rsidRPr="00AD2977" w:rsidTr="00AD2977">
        <w:trPr>
          <w:trHeight w:val="1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LineNumbers/>
              <w:tabs>
                <w:tab w:val="left" w:pos="3242"/>
              </w:tabs>
              <w:suppressAutoHyphens/>
              <w:snapToGrid w:val="0"/>
              <w:spacing w:after="0" w:line="240" w:lineRule="auto"/>
              <w:ind w:left="25" w:right="5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Ответственный исполнитель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МКУ ЗГО «УЖКХ»</w:t>
            </w:r>
          </w:p>
        </w:tc>
      </w:tr>
      <w:tr w:rsidR="00AD2977" w:rsidRPr="00AD2977" w:rsidTr="00AD29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Соисполнитель  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Администрация Златоустовского городского округа</w:t>
            </w:r>
          </w:p>
        </w:tc>
      </w:tr>
      <w:tr w:rsidR="00AD2977" w:rsidRPr="00AD2977" w:rsidTr="00AD2977">
        <w:trPr>
          <w:trHeight w:val="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LineNumbers/>
              <w:suppressAutoHyphens/>
              <w:snapToGrid w:val="0"/>
              <w:spacing w:after="0" w:line="240" w:lineRule="auto"/>
              <w:ind w:left="65" w:right="5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Цель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77" w:rsidRPr="00AD2977" w:rsidRDefault="00AD2977" w:rsidP="00AD2977">
            <w:pPr>
              <w:tabs>
                <w:tab w:val="left" w:pos="254"/>
              </w:tabs>
              <w:suppressAutoHyphens/>
              <w:snapToGrid w:val="0"/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Обеспечение безопасного транспортного сообщения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br/>
            </w:r>
            <w:r w:rsidRPr="00AD29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по автомобильным дорогам общего пользования местного значения и совершенствование улично-дорожной сети Златоустовского городского округа.</w:t>
            </w:r>
          </w:p>
        </w:tc>
      </w:tr>
      <w:tr w:rsidR="00AD2977" w:rsidRPr="00AD2977" w:rsidTr="00AD29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Задача      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77" w:rsidRPr="00AD2977" w:rsidRDefault="00AD2977" w:rsidP="00AD2977">
            <w:pPr>
              <w:tabs>
                <w:tab w:val="left" w:pos="0"/>
                <w:tab w:val="left" w:pos="284"/>
              </w:tabs>
              <w:suppressAutoHyphens/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bCs/>
                <w:iCs/>
                <w:kern w:val="1"/>
                <w:sz w:val="28"/>
                <w:szCs w:val="28"/>
                <w:lang w:eastAsia="ar-SA"/>
              </w:rPr>
              <w:t xml:space="preserve">Обеспечение сохранности автомобильных дорог, дорожных сооружений и поддержание их состояния в соответствии </w:t>
            </w:r>
            <w:r>
              <w:rPr>
                <w:rFonts w:ascii="Times New Roman" w:eastAsia="Times New Roman" w:hAnsi="Times New Roman" w:cs="Times New Roman"/>
                <w:bCs/>
                <w:iCs/>
                <w:kern w:val="1"/>
                <w:sz w:val="28"/>
                <w:szCs w:val="28"/>
                <w:lang w:eastAsia="ar-SA"/>
              </w:rPr>
              <w:br/>
            </w:r>
            <w:r w:rsidRPr="00AD2977">
              <w:rPr>
                <w:rFonts w:ascii="Times New Roman" w:eastAsia="Times New Roman" w:hAnsi="Times New Roman" w:cs="Times New Roman"/>
                <w:bCs/>
                <w:iCs/>
                <w:kern w:val="1"/>
                <w:sz w:val="28"/>
                <w:szCs w:val="28"/>
                <w:lang w:eastAsia="ar-SA"/>
              </w:rPr>
              <w:t>с требованиями, допустимыми по условиям обеспечения безопасного дорожного движения.</w:t>
            </w:r>
          </w:p>
        </w:tc>
      </w:tr>
      <w:tr w:rsidR="00AD2977" w:rsidRPr="00AD2977" w:rsidTr="00AD2977">
        <w:trPr>
          <w:trHeight w:val="7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AutoHyphens/>
              <w:snapToGrid w:val="0"/>
              <w:spacing w:after="0" w:line="240" w:lineRule="auto"/>
              <w:ind w:left="-25" w:right="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Целевые показатели (индикаторы)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widowControl w:val="0"/>
              <w:numPr>
                <w:ilvl w:val="0"/>
                <w:numId w:val="10"/>
              </w:numPr>
              <w:tabs>
                <w:tab w:val="left" w:pos="228"/>
              </w:tabs>
              <w:suppressAutoHyphens/>
              <w:autoSpaceDE w:val="0"/>
              <w:spacing w:after="0" w:line="240" w:lineRule="auto"/>
              <w:ind w:left="0" w:right="86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Протяженность автомобильных дорог, на которых обеспечено надлежащее содержание, км.</w:t>
            </w:r>
          </w:p>
          <w:p w:rsidR="00AD2977" w:rsidRPr="00AD2977" w:rsidRDefault="00AD2977" w:rsidP="00AD2977">
            <w:pPr>
              <w:widowControl w:val="0"/>
              <w:numPr>
                <w:ilvl w:val="0"/>
                <w:numId w:val="10"/>
              </w:numPr>
              <w:tabs>
                <w:tab w:val="left" w:pos="228"/>
              </w:tabs>
              <w:suppressAutoHyphens/>
              <w:autoSpaceDE w:val="0"/>
              <w:spacing w:after="0" w:line="240" w:lineRule="auto"/>
              <w:ind w:left="0" w:right="86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Протяженность нанесенной разметки (продольная), км.</w:t>
            </w:r>
          </w:p>
          <w:p w:rsidR="00AD2977" w:rsidRPr="00AD2977" w:rsidRDefault="00AD2977" w:rsidP="00AD2977">
            <w:pPr>
              <w:widowControl w:val="0"/>
              <w:numPr>
                <w:ilvl w:val="0"/>
                <w:numId w:val="10"/>
              </w:numPr>
              <w:tabs>
                <w:tab w:val="left" w:pos="228"/>
              </w:tabs>
              <w:suppressAutoHyphens/>
              <w:autoSpaceDE w:val="0"/>
              <w:spacing w:after="0" w:line="240" w:lineRule="auto"/>
              <w:ind w:left="0" w:right="86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Площадь нанесенной разметки (пешеходный переход), м</w:t>
            </w: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vertAlign w:val="superscript"/>
                <w:lang w:eastAsia="ar-SA"/>
              </w:rPr>
              <w:t>2</w:t>
            </w: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.</w:t>
            </w:r>
          </w:p>
          <w:p w:rsidR="00AD2977" w:rsidRPr="00AD2977" w:rsidRDefault="00AD2977" w:rsidP="00AD2977">
            <w:pPr>
              <w:widowControl w:val="0"/>
              <w:numPr>
                <w:ilvl w:val="0"/>
                <w:numId w:val="10"/>
              </w:numPr>
              <w:tabs>
                <w:tab w:val="left" w:pos="228"/>
              </w:tabs>
              <w:suppressAutoHyphens/>
              <w:autoSpaceDE w:val="0"/>
              <w:spacing w:after="0" w:line="240" w:lineRule="auto"/>
              <w:ind w:left="0" w:right="86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Ежегодный прирост протяженности автомобильных дорог общего пользования местного значения, соответствующих нормативным требованиям, км.</w:t>
            </w:r>
          </w:p>
        </w:tc>
      </w:tr>
      <w:tr w:rsidR="00AD2977" w:rsidRPr="00AD2977" w:rsidTr="00AD2977">
        <w:trPr>
          <w:trHeight w:val="3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Этапы и сроки реализации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2024-2026 годы</w:t>
            </w:r>
          </w:p>
        </w:tc>
      </w:tr>
      <w:tr w:rsidR="00AD2977" w:rsidRPr="00AD2977" w:rsidTr="00AD2977">
        <w:trPr>
          <w:trHeight w:val="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Объемы финансовых ресурсов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4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Общий </w:t>
            </w:r>
            <w:r w:rsidRPr="00AD2977">
              <w:rPr>
                <w:rFonts w:ascii="Times New Roman" w:eastAsia="Times New Roman" w:hAnsi="Times New Roman" w:cs="Times New Roman"/>
                <w:color w:val="000000"/>
                <w:spacing w:val="-4"/>
                <w:kern w:val="24"/>
                <w:sz w:val="28"/>
                <w:szCs w:val="28"/>
                <w:lang w:eastAsia="ar-SA"/>
              </w:rPr>
              <w:t xml:space="preserve">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kern w:val="24"/>
                <w:sz w:val="28"/>
                <w:szCs w:val="28"/>
                <w:lang w:eastAsia="ar-SA"/>
              </w:rPr>
              <w:br/>
            </w:r>
            <w:r w:rsidRPr="00AD2977">
              <w:rPr>
                <w:rFonts w:ascii="Times New Roman" w:eastAsia="Times New Roman" w:hAnsi="Times New Roman" w:cs="Times New Roman"/>
                <w:color w:val="000000"/>
                <w:spacing w:val="-4"/>
                <w:kern w:val="24"/>
                <w:sz w:val="28"/>
                <w:szCs w:val="28"/>
                <w:lang w:eastAsia="ar-SA"/>
              </w:rPr>
              <w:t>на 2024-2026 годы – 940 785,7 тыс. рублей: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Местный бюджет – 698 017,5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Областной бюджет – 242 768,2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Общий объем финансирования в 2024 год –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</w: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270 580,7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Местный бюджет – 188 802,1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Областной бюджет – 81 778,6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Общий объем финансирования в 2025 год –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</w: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335 102,5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Местный бюджет – 254 607,7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Областной бюджет – 80 494,8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 xml:space="preserve">Общий объем финансирования в 2026 год –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</w: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335 102,5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Местный бюджет – 254 607,7 тыс. рублей</w:t>
            </w:r>
          </w:p>
          <w:p w:rsidR="00AD2977" w:rsidRPr="00AD2977" w:rsidRDefault="00AD2977" w:rsidP="00AD2977">
            <w:pPr>
              <w:suppressAutoHyphens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Областной бюджет – 80 494,8 тыс. рублей</w:t>
            </w:r>
          </w:p>
        </w:tc>
      </w:tr>
      <w:tr w:rsidR="00AD2977" w:rsidRPr="00AD2977" w:rsidTr="00AD2977">
        <w:trPr>
          <w:trHeight w:val="217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 xml:space="preserve">Ожидаемые результаты реализации Подпрограммы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77" w:rsidRPr="00AD2977" w:rsidRDefault="00AD2977" w:rsidP="00AD2977">
            <w:pPr>
              <w:tabs>
                <w:tab w:val="left" w:pos="228"/>
                <w:tab w:val="left" w:pos="370"/>
                <w:tab w:val="left" w:pos="3347"/>
              </w:tabs>
              <w:snapToGrid w:val="0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1. </w:t>
            </w: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Достижение уровня удовлетворенности населения качеством автомобильных дорог до 18,0 %</w:t>
            </w:r>
            <w:r w:rsidRPr="00AD2977">
              <w:rPr>
                <w:rFonts w:ascii="Times New Roman" w:eastAsia="Times New Roman" w:hAnsi="Times New Roman" w:cs="Times New Roman"/>
                <w:color w:val="000000"/>
                <w:spacing w:val="-6"/>
                <w:kern w:val="1"/>
                <w:sz w:val="28"/>
                <w:szCs w:val="28"/>
                <w:lang w:eastAsia="ar-SA"/>
              </w:rPr>
              <w:t>.</w:t>
            </w:r>
          </w:p>
        </w:tc>
      </w:tr>
    </w:tbl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Раздел </w:t>
      </w: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 w:eastAsia="ar-SA"/>
        </w:rPr>
        <w:t>I</w:t>
      </w: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. Характеристика сферы реализации подпрограммы, </w:t>
      </w: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описание основных проблем в организации дорожной деятельности </w:t>
      </w: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и повышения безопасности дорожного движения</w:t>
      </w: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numPr>
          <w:ilvl w:val="0"/>
          <w:numId w:val="11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bookmarkStart w:id="4" w:name="_Hlk149307660"/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>Дорожное хозяйство является важной составной частью инфраструктуры округа.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 xml:space="preserve">По состоянию на 1 января 2023 года протяженность автомобильных дорог общего пользования местного значения на территории округа составила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>423,3 километра.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>Характерной чертой последнего десятилетия в округе являлось устойчивое развитие дорожного хозяйства, ставшее результатом последовательной реализации комплекса мер, направленных на формирование эффективной опорной сети автомобильных дорог общего пользования местного значения.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>На сегодняшний день 372,24 километра автомобильных дорог, от общей протяженности автомобильных дорог общего пользования местного значения, отвечают нормативным требованиям. Этому способствовал ежегодный рост объема финансирования в дорожную отрасль.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 xml:space="preserve">Несмотря на достигнутые результаты, по-прежнему остаются актуальными вопросы по приведению всех автомобильных дорог округа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>к нормативным требованиям.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 xml:space="preserve">Помимо решения вопросов по приведению автомобильных дорог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 xml:space="preserve">в соответствие с нормативными требованиями актуальным направлением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 xml:space="preserve">в данной сфере остается текущее содержание автомобильных дорог, а также содержание и внедрение технических средств организации и регулирования дорожного движения (светофорные объекты, дорожные знаки, пешеходные ограждения, нанесение дорожной разметки). 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>Основной задачей в содержании автомобильных дорог является уборка улиц от загрязнений, скапливающихся на покрытии дорог. Эти загрязнения являются источником повышенной загрязненности воздуха, а при неблагоприятных природно-климатических условиях способствуют возникновению наледи, что сказывается на безопасности дорожного движения.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lastRenderedPageBreak/>
        <w:t xml:space="preserve">Основными операциями по летней уборке улиц является подметание, поливка проезжей части дороги, очистка </w:t>
      </w:r>
      <w:proofErr w:type="spellStart"/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>прибордюрной</w:t>
      </w:r>
      <w:proofErr w:type="spellEnd"/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 xml:space="preserve"> зоны, уборка мусора. При зимней уборке дорог и улиц должно обеспечиваться три основных вида работ: 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>– </w:t>
      </w: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 xml:space="preserve">борьба со снежно-ледяными образованиями путем своевременного удаления свежевыпавшего, а также уплотненного снега; 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 xml:space="preserve">– погрузка и вывоз снега и скола; 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ar-SA"/>
        </w:rPr>
        <w:t>– посыпка дорог, направленная на борьбу с гололедом.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bookmarkStart w:id="5" w:name="_Hlk149307692"/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Кроме того, в рамках данной Подпрограммы большое внимание уделяется обеспечению улично-дорожной сети в границах округа техническими средствами (в том числе средствами организации дорожного движения)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и сохранению их эксплуатационных характеристик.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Ежегодно в рамках выделенного финансирования проводятся следующие виды работ: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– установка (ремонт) и поддержание в рабочем состоянии светофорных объектов;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– установка и ремонт знаков дорожного движения;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– нанесение продольной дорожной разметки и на пешеходных переходах;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– устройство искусственных неровностей.</w:t>
      </w:r>
    </w:p>
    <w:bookmarkEnd w:id="4"/>
    <w:bookmarkEnd w:id="5"/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AD2977" w:rsidRPr="00AD2977" w:rsidRDefault="00AD2977" w:rsidP="00AD2977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977" w:rsidRPr="00AD2977" w:rsidRDefault="00AD2977" w:rsidP="00AD297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Раздел </w:t>
      </w:r>
      <w:r w:rsidRPr="00AD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II</w:t>
      </w:r>
      <w:r w:rsidRPr="00AD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Приоритеты муниципальной политики в сфере реализации </w:t>
      </w:r>
    </w:p>
    <w:p w:rsidR="00AD2977" w:rsidRPr="00AD2977" w:rsidRDefault="00AD2977" w:rsidP="00AD297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Подпрограммы, цели, задачи и показатели достижения целей и решения задач,</w:t>
      </w:r>
    </w:p>
    <w:p w:rsidR="00AD2977" w:rsidRPr="00AD2977" w:rsidRDefault="00AD2977" w:rsidP="00AD297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описание основных ожидаемых конечных результатов Подпрограммы,</w:t>
      </w:r>
    </w:p>
    <w:p w:rsidR="00AD2977" w:rsidRPr="00AD2977" w:rsidRDefault="00AD2977" w:rsidP="00AD297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сроков и контрольных этапов реализации Подпрограммы</w:t>
      </w:r>
    </w:p>
    <w:p w:rsidR="00AD2977" w:rsidRPr="00AD2977" w:rsidRDefault="00AD2977" w:rsidP="00AD2977">
      <w:pPr>
        <w:tabs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numPr>
          <w:ilvl w:val="0"/>
          <w:numId w:val="11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Приоритеты и цели политики округа в сфере ЖКХ определены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 стратегии социально-экономического развития округа до 2030 года.</w:t>
      </w:r>
    </w:p>
    <w:p w:rsidR="00AD2977" w:rsidRPr="00AD2977" w:rsidRDefault="00AD2977" w:rsidP="00AD29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24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Основной целью Подпрограммы является о</w:t>
      </w:r>
      <w:r w:rsidRPr="00AD2977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беспечение безопасного транспортного сообщения по автомобильным дорогам общего пользования местного значения и совершенствование улично-дорожной сети округа.</w:t>
      </w:r>
    </w:p>
    <w:p w:rsidR="00AD2977" w:rsidRPr="00AD2977" w:rsidRDefault="00AD2977" w:rsidP="00AD2977">
      <w:pPr>
        <w:numPr>
          <w:ilvl w:val="0"/>
          <w:numId w:val="11"/>
        </w:numPr>
        <w:tabs>
          <w:tab w:val="left" w:pos="254"/>
          <w:tab w:val="left" w:pos="567"/>
          <w:tab w:val="left" w:pos="993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Подпрограмма предусматривает решение задачи по о</w:t>
      </w:r>
      <w:r w:rsidRPr="00AD2977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>беспечению сохранности автомобильных дорог, дорожных сооружений и поддержание их состояния в соответствии с требованиями, допустимыми по условиям обеспечения безопасного дорожного движения.</w:t>
      </w:r>
    </w:p>
    <w:p w:rsidR="00AD2977" w:rsidRPr="00AD2977" w:rsidRDefault="00AD2977" w:rsidP="00AD2977">
      <w:pPr>
        <w:numPr>
          <w:ilvl w:val="0"/>
          <w:numId w:val="11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В результате реализации Подпрограммы планируется достигнуть следующих целевых индикаторов (таблица 1):</w:t>
      </w:r>
    </w:p>
    <w:p w:rsidR="00AD2977" w:rsidRPr="00AD2977" w:rsidRDefault="00AD2977" w:rsidP="00AD2977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Таблица1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1134"/>
        <w:gridCol w:w="1134"/>
        <w:gridCol w:w="1276"/>
      </w:tblGrid>
      <w:tr w:rsidR="00AD2977" w:rsidRPr="00AD2977" w:rsidTr="00AD2977">
        <w:trPr>
          <w:trHeight w:val="20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widowControl w:val="0"/>
              <w:tabs>
                <w:tab w:val="left" w:pos="248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Наименование </w:t>
            </w:r>
          </w:p>
          <w:p w:rsidR="00AD2977" w:rsidRPr="00AD2977" w:rsidRDefault="00AD2977" w:rsidP="00AD2977">
            <w:pPr>
              <w:widowControl w:val="0"/>
              <w:tabs>
                <w:tab w:val="left" w:pos="248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индикативных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Ед. изм.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D2977" w:rsidRPr="00AD2977" w:rsidRDefault="00AD2977" w:rsidP="00AD2977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Плановые показатели </w:t>
            </w:r>
          </w:p>
          <w:p w:rsidR="00AD2977" w:rsidRPr="00AD2977" w:rsidRDefault="00AD2977" w:rsidP="00AD2977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Подпрограммы</w:t>
            </w:r>
          </w:p>
        </w:tc>
      </w:tr>
      <w:tr w:rsidR="00AD2977" w:rsidRPr="00AD2977" w:rsidTr="00AD2977">
        <w:trPr>
          <w:trHeight w:val="20"/>
        </w:trPr>
        <w:tc>
          <w:tcPr>
            <w:tcW w:w="53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widowControl w:val="0"/>
              <w:tabs>
                <w:tab w:val="left" w:pos="248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2977" w:rsidRPr="00AD2977" w:rsidRDefault="00AD2977" w:rsidP="00AD2977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2977" w:rsidRPr="00AD2977" w:rsidRDefault="00AD2977" w:rsidP="00AD2977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2977" w:rsidRPr="00AD2977" w:rsidRDefault="00AD2977" w:rsidP="00AD2977">
            <w:pPr>
              <w:widowControl w:val="0"/>
              <w:tabs>
                <w:tab w:val="left" w:pos="248"/>
              </w:tabs>
              <w:autoSpaceDE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2026 год</w:t>
            </w:r>
          </w:p>
        </w:tc>
      </w:tr>
      <w:tr w:rsidR="00AD2977" w:rsidRPr="00AD2977" w:rsidTr="00AD2977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numPr>
                <w:ilvl w:val="0"/>
                <w:numId w:val="12"/>
              </w:numPr>
              <w:tabs>
                <w:tab w:val="left" w:pos="366"/>
              </w:tabs>
              <w:suppressAutoHyphens/>
              <w:spacing w:after="0" w:line="240" w:lineRule="auto"/>
              <w:ind w:left="0" w:right="87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Протяженность автомобильных дорог, на которых обеспечено надлежащее содержание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423,3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423,3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423,3</w:t>
            </w:r>
          </w:p>
        </w:tc>
      </w:tr>
      <w:tr w:rsidR="00AD2977" w:rsidRPr="00AD2977" w:rsidTr="00AD2977">
        <w:trPr>
          <w:trHeight w:val="15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numPr>
                <w:ilvl w:val="0"/>
                <w:numId w:val="12"/>
              </w:numPr>
              <w:tabs>
                <w:tab w:val="left" w:pos="366"/>
              </w:tabs>
              <w:suppressAutoHyphens/>
              <w:spacing w:after="0" w:line="240" w:lineRule="auto"/>
              <w:ind w:left="0" w:right="87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Протяженность нанесенной разметки (продольная)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AutoHyphens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388,5</w:t>
            </w:r>
          </w:p>
        </w:tc>
      </w:tr>
      <w:tr w:rsidR="00AD2977" w:rsidRPr="00AD2977" w:rsidTr="00AD2977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numPr>
                <w:ilvl w:val="0"/>
                <w:numId w:val="12"/>
              </w:numPr>
              <w:tabs>
                <w:tab w:val="left" w:pos="366"/>
              </w:tabs>
              <w:suppressAutoHyphens/>
              <w:spacing w:after="0" w:line="240" w:lineRule="auto"/>
              <w:ind w:left="0" w:right="87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Площадь нанесенной разметки </w:t>
            </w:r>
          </w:p>
          <w:p w:rsidR="00AD2977" w:rsidRPr="00AD2977" w:rsidRDefault="00AD2977" w:rsidP="00AD2977">
            <w:pPr>
              <w:tabs>
                <w:tab w:val="left" w:pos="366"/>
              </w:tabs>
              <w:suppressAutoHyphens/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(пешеходный переход)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AutoHyphens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vertAlign w:val="superscript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м</w:t>
            </w: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2 994,0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2 994,0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2 994,0</w:t>
            </w:r>
          </w:p>
        </w:tc>
      </w:tr>
      <w:tr w:rsidR="00AD2977" w:rsidRPr="00AD2977" w:rsidTr="00AD2977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numPr>
                <w:ilvl w:val="0"/>
                <w:numId w:val="12"/>
              </w:numPr>
              <w:tabs>
                <w:tab w:val="left" w:pos="366"/>
              </w:tabs>
              <w:suppressAutoHyphens/>
              <w:spacing w:after="0" w:line="240" w:lineRule="auto"/>
              <w:ind w:left="0" w:right="87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Ежегодный прирост протяженности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77" w:rsidRPr="00AD2977" w:rsidRDefault="00AD2977" w:rsidP="00AD2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suppressAutoHyphens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suppressAutoHyphens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977" w:rsidRPr="00AD2977" w:rsidRDefault="00AD2977" w:rsidP="00AD2977">
            <w:pPr>
              <w:suppressAutoHyphens/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D297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2,55</w:t>
            </w:r>
          </w:p>
        </w:tc>
      </w:tr>
    </w:tbl>
    <w:p w:rsidR="00AD2977" w:rsidRPr="00AD2977" w:rsidRDefault="00AD2977" w:rsidP="00AD2977">
      <w:pPr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Реализация мероприятий Подпрограммы приведет к достижению ожидаемых результатов:</w:t>
      </w:r>
    </w:p>
    <w:p w:rsidR="00AD2977" w:rsidRPr="00AD2977" w:rsidRDefault="00AD2977" w:rsidP="00AD2977">
      <w:pPr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Достижение уровня удовлетворенности населения качеством автомобильных дорог до 18,0 %</w:t>
      </w:r>
      <w:r w:rsidRPr="00AD2977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ar-SA"/>
        </w:rPr>
        <w:t>.</w:t>
      </w:r>
    </w:p>
    <w:p w:rsidR="00AD2977" w:rsidRPr="00AD2977" w:rsidRDefault="00AD2977" w:rsidP="00AD2977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Срок реализации Подпрограммы: 2024–2026 годы.</w:t>
      </w:r>
    </w:p>
    <w:p w:rsidR="00AD2977" w:rsidRPr="00AD2977" w:rsidRDefault="00AD2977" w:rsidP="00AD297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Этапы реализации Подпрограммы не предусматриваются, так как мероприятия в рамках данной Подпрограммы будут реализовываться весь период.</w:t>
      </w: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Раздел 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val="en-US" w:eastAsia="ar-SA"/>
        </w:rPr>
        <w:t>III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. Характеристика основных мероприятий Подпрограммы</w:t>
      </w:r>
    </w:p>
    <w:p w:rsidR="00AD2977" w:rsidRPr="00AD2977" w:rsidRDefault="00AD2977" w:rsidP="00AD297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numPr>
          <w:ilvl w:val="0"/>
          <w:numId w:val="11"/>
        </w:num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Перечень основных мероприятий Подпрограммы представлен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в приложении 1 к Подпрограмме.</w:t>
      </w:r>
    </w:p>
    <w:p w:rsidR="00AD2977" w:rsidRPr="00AD2977" w:rsidRDefault="00AD2977" w:rsidP="00AD297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4"/>
          <w:szCs w:val="24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Раздел 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val="en-US" w:eastAsia="ar-SA"/>
        </w:rPr>
        <w:t>IV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. Информация об участии предприятий и организаций,</w:t>
      </w: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независимо от их организационно-правовой формы собственности,</w:t>
      </w: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а также внебюджетных фондов, в реализации Подпрограммы</w:t>
      </w:r>
    </w:p>
    <w:p w:rsidR="00AD2977" w:rsidRPr="00AD2977" w:rsidRDefault="00AD2977" w:rsidP="00AD297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numPr>
          <w:ilvl w:val="0"/>
          <w:numId w:val="11"/>
        </w:numPr>
        <w:tabs>
          <w:tab w:val="left" w:pos="0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Предприятия и организации, независимо от их организационно-правовой формы собственности, а также внебюджетные фонды, в реализации Подпрограммы не участвуют.</w:t>
      </w:r>
    </w:p>
    <w:p w:rsidR="00AD2977" w:rsidRPr="00AD2977" w:rsidRDefault="00AD2977" w:rsidP="00AD297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4"/>
          <w:szCs w:val="24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Раздел 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val="en-US" w:eastAsia="ar-SA"/>
        </w:rPr>
        <w:t>V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. Обоснование объема финансовых ресурсов, </w:t>
      </w:r>
    </w:p>
    <w:p w:rsidR="00AD2977" w:rsidRPr="00AD2977" w:rsidRDefault="00AD2977" w:rsidP="00AD297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необходимых для реализации Подпрограммы</w:t>
      </w:r>
    </w:p>
    <w:p w:rsidR="00AD2977" w:rsidRPr="00AD2977" w:rsidRDefault="00AD2977" w:rsidP="00AD29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numPr>
          <w:ilvl w:val="0"/>
          <w:numId w:val="11"/>
        </w:numPr>
        <w:tabs>
          <w:tab w:val="left" w:pos="0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Оценка объема затрат на реализацию мероприятий Подпрограммы выполняется плановым методом, при котором объем ассигнований на исполнение обязательств определяется на основании проектно-сметной документации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с возможной корректировкой.</w:t>
      </w:r>
    </w:p>
    <w:p w:rsidR="00AD2977" w:rsidRPr="00AD2977" w:rsidRDefault="00AD2977" w:rsidP="00AD2977">
      <w:pPr>
        <w:numPr>
          <w:ilvl w:val="0"/>
          <w:numId w:val="11"/>
        </w:numPr>
        <w:tabs>
          <w:tab w:val="left" w:pos="0"/>
          <w:tab w:val="left" w:pos="709"/>
          <w:tab w:val="left" w:pos="993"/>
          <w:tab w:val="left" w:pos="1134"/>
        </w:tabs>
        <w:suppressAutoHyphens/>
        <w:spacing w:after="0" w:line="240" w:lineRule="auto"/>
        <w:ind w:left="0" w:right="-51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24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Общий 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24"/>
          <w:sz w:val="28"/>
          <w:szCs w:val="28"/>
          <w:lang w:eastAsia="ar-SA"/>
        </w:rPr>
        <w:t>объем финансирования Подпрограммы на 2024-2026 годы – 940 785,7 тыс. рублей: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Местный бюджет – 698 017,5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Областной бюджет – 242 768,2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Общий объем финансирования в 2024 год – 270 580,7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Местный бюджет – 188 802,1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right="-51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Областной бюджет – 81 778,6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right="-51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Общий объем финансирования в 2025 год – 335 102,5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Местный бюджет – 254 607,7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right="-51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Областной бюджет – 80 494,8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right="-51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Общий объем финансирования в 2026 год – 335 102,5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Местный бюджет – 254 607,7 тыс. рублей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Областной бюджет – 80 494,8 тыс. рублей</w:t>
      </w:r>
    </w:p>
    <w:p w:rsidR="00AD2977" w:rsidRPr="00AD2977" w:rsidRDefault="00AD2977" w:rsidP="00AD2977">
      <w:pPr>
        <w:numPr>
          <w:ilvl w:val="0"/>
          <w:numId w:val="11"/>
        </w:numPr>
        <w:tabs>
          <w:tab w:val="left" w:pos="0"/>
          <w:tab w:val="left" w:pos="567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Оценка эффективности расходования бюджетных средств производится ежегодно на основе использования системы целевых индикаторов (показателей) характеризующих:</w:t>
      </w:r>
    </w:p>
    <w:p w:rsidR="00AD2977" w:rsidRPr="00AD2977" w:rsidRDefault="00AD2977" w:rsidP="00AD2977">
      <w:pPr>
        <w:numPr>
          <w:ilvl w:val="2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Степень достижения целей, решения тактических задач.</w:t>
      </w:r>
    </w:p>
    <w:p w:rsidR="00AD2977" w:rsidRPr="00AD2977" w:rsidRDefault="00AD2977" w:rsidP="00AD2977">
      <w:pPr>
        <w:numPr>
          <w:ilvl w:val="2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Степень соответствия запланированному уровню затрат.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Данная оценка эффективности обеспечит мониторинг динамики изменений показателей за оцениваемый период с целью уточнения задач и мероприятий Подпрограммы. Оценка эффективности Подпрограммы будет производиться путем сравнения </w:t>
      </w:r>
      <w:r w:rsidRPr="00AD297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значений целевых индикаторов текущего года с достигнутыми в предыдущий годы и установленными значениями на последующий период.</w:t>
      </w:r>
    </w:p>
    <w:p w:rsidR="00AD2977" w:rsidRPr="00AD2977" w:rsidRDefault="00AD2977" w:rsidP="00AD2977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Анализ оценки эффективности и результативности реализации Подпрограммы осуществляется и основывается на количественной оценке состояния отдельных показателей результативности (индикаторов результативности).</w:t>
      </w:r>
    </w:p>
    <w:p w:rsidR="00AD2977" w:rsidRPr="00AD2977" w:rsidRDefault="00AD2977" w:rsidP="00AD29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Раздел 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val="en-US" w:eastAsia="ar-SA"/>
        </w:rPr>
        <w:t>VI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. Анализ рисков реализации Подпрограммы и описание мер </w:t>
      </w:r>
    </w:p>
    <w:p w:rsidR="00AD2977" w:rsidRPr="00AD2977" w:rsidRDefault="00AD2977" w:rsidP="00AD29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управления рисками реализации Подпрограммы</w:t>
      </w:r>
    </w:p>
    <w:p w:rsidR="00AD2977" w:rsidRPr="00AD2977" w:rsidRDefault="00AD2977" w:rsidP="00AD29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numPr>
          <w:ilvl w:val="0"/>
          <w:numId w:val="11"/>
        </w:numPr>
        <w:tabs>
          <w:tab w:val="left" w:pos="0"/>
          <w:tab w:val="left" w:pos="567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При реализации настоящей Подпрограммы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Подпрограммы.</w:t>
      </w:r>
    </w:p>
    <w:p w:rsidR="00AD2977" w:rsidRPr="00AD2977" w:rsidRDefault="00AD2977" w:rsidP="00AD2977">
      <w:pPr>
        <w:tabs>
          <w:tab w:val="left" w:pos="0"/>
          <w:tab w:val="left" w:pos="567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Риски реализации Подпрограммы можно разделить на две группы:</w:t>
      </w:r>
    </w:p>
    <w:p w:rsidR="00AD2977" w:rsidRPr="00AD2977" w:rsidRDefault="00AD2977" w:rsidP="00AD2977">
      <w:pPr>
        <w:tabs>
          <w:tab w:val="left" w:pos="0"/>
          <w:tab w:val="left" w:pos="567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внутренние – относятся к сфере компетенции ответственного исполнителя Подпрограммы и исполнителей мероприятий Подпрограммы;</w:t>
      </w:r>
    </w:p>
    <w:p w:rsidR="00AD2977" w:rsidRPr="00AD2977" w:rsidRDefault="00AD2977" w:rsidP="00AD2977">
      <w:pPr>
        <w:tabs>
          <w:tab w:val="left" w:pos="0"/>
          <w:tab w:val="left" w:pos="567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внешние – наступление или не наступление данных рисков не зависит </w:t>
      </w: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br/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от действий ответственного исполнителя Подпрограммы.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13.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ab/>
        <w:t>Внутренние риски могут являться следствием: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 низкой исполнительской дисциплины ответственного исполнителя Подпрограммы, должностных лиц, ответственных за выполнение мероприятий Подпрограммы;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 несвоевременных разработки, согласования и принятия документов, обеспечивающих выполнение мероприятий Подпрограммы;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lastRenderedPageBreak/>
        <w:t>– 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недостаточной оперативности при наступлении внешних рисков реализации Подпрограммы.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Мерами управления внутренними рисками являются: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детальное планирование хода реализации Подпрограммы;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оперативный мониторинг выполнения мероприятий Подпрограммы, который выполняют ответственные исполнители мероприятий;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своевременная актуализация ежегодных мероприятий реализации Подпрограммы, в том числе корректировка состава и сроков исполнения мероприятий с сохранением ожидаемых результатов.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14. Внешние риски могут являться следствием: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 возникновением бюджетного дефицита и недостаточным вследствие этого уровнем бюджетного финансирования, мероприятий, предусмотренных Подпрограммой.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В рамках Подпрограммы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15. Анализ и управление риском реализации Подпрограммы обеспечивает: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условия, в результате которых можно реализовать мероприятия, предусмотренные Подпрограммой на данный период;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постоянный учет всех факторов риска, влияющих на достижение цели Подпрограммы;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– </w:t>
      </w:r>
      <w:r w:rsidRPr="00AD2977"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правильный учет факторов риска, их тщательный анализ и разумная политика по управлению ими.</w:t>
      </w:r>
    </w:p>
    <w:p w:rsidR="00AD2977" w:rsidRPr="00AD2977" w:rsidRDefault="00AD2977" w:rsidP="00AD2977">
      <w:pPr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kern w:val="1"/>
          <w:sz w:val="28"/>
          <w:szCs w:val="28"/>
          <w:lang w:eastAsia="ar-SA"/>
        </w:rPr>
      </w:pPr>
    </w:p>
    <w:p w:rsidR="00AD2977" w:rsidRPr="00AD2977" w:rsidRDefault="00AD2977" w:rsidP="00AD2977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</w:rPr>
      </w:pPr>
    </w:p>
    <w:sectPr w:rsidR="00AD2977" w:rsidRPr="00AD2977" w:rsidSect="001745D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775"/>
    <w:multiLevelType w:val="hybridMultilevel"/>
    <w:tmpl w:val="87F67016"/>
    <w:lvl w:ilvl="0" w:tplc="6DA496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493D7B"/>
    <w:multiLevelType w:val="hybridMultilevel"/>
    <w:tmpl w:val="BC74656C"/>
    <w:lvl w:ilvl="0" w:tplc="58D2FF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F4434"/>
    <w:multiLevelType w:val="hybridMultilevel"/>
    <w:tmpl w:val="A8AEBF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1">
      <w:start w:val="1"/>
      <w:numFmt w:val="decimal"/>
      <w:lvlText w:val="%3)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5C0765E"/>
    <w:multiLevelType w:val="hybridMultilevel"/>
    <w:tmpl w:val="49EE8D28"/>
    <w:lvl w:ilvl="0" w:tplc="14044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9F196F"/>
    <w:multiLevelType w:val="hybridMultilevel"/>
    <w:tmpl w:val="95A0920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60B0C"/>
    <w:multiLevelType w:val="hybridMultilevel"/>
    <w:tmpl w:val="EBB2D0F8"/>
    <w:lvl w:ilvl="0" w:tplc="534A96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F7A43"/>
    <w:multiLevelType w:val="hybridMultilevel"/>
    <w:tmpl w:val="80640C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ACB4E22"/>
    <w:multiLevelType w:val="hybridMultilevel"/>
    <w:tmpl w:val="499400DC"/>
    <w:lvl w:ilvl="0" w:tplc="0A3A9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B1EFB"/>
    <w:multiLevelType w:val="hybridMultilevel"/>
    <w:tmpl w:val="365E3D50"/>
    <w:lvl w:ilvl="0" w:tplc="6534E60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2FD47A1"/>
    <w:multiLevelType w:val="hybridMultilevel"/>
    <w:tmpl w:val="8196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96473"/>
    <w:multiLevelType w:val="hybridMultilevel"/>
    <w:tmpl w:val="91282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FEA6A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43303"/>
    <w:multiLevelType w:val="hybridMultilevel"/>
    <w:tmpl w:val="19D0A6FA"/>
    <w:lvl w:ilvl="0" w:tplc="534A96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F6"/>
    <w:rsid w:val="00112020"/>
    <w:rsid w:val="001745DB"/>
    <w:rsid w:val="008D0736"/>
    <w:rsid w:val="0095611E"/>
    <w:rsid w:val="009D12F6"/>
    <w:rsid w:val="00A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4261</Words>
  <Characters>24290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Жуланова Ольга Андреевна</dc:creator>
  <cp:keywords/>
  <dc:description/>
  <cp:lastModifiedBy>Жуланова Ольга Андреевна</cp:lastModifiedBy>
  <cp:revision>3</cp:revision>
  <cp:lastPrinted>2023-11-17T08:10:00Z</cp:lastPrinted>
  <dcterms:created xsi:type="dcterms:W3CDTF">2023-11-17T07:50:00Z</dcterms:created>
  <dcterms:modified xsi:type="dcterms:W3CDTF">2023-11-17T08:11:00Z</dcterms:modified>
</cp:coreProperties>
</file>