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4536" w:right="-1"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Приложение 3</w:t>
      </w:r>
    </w:p>
    <w:p>
      <w:pPr>
        <w:pStyle w:val="Normal"/>
        <w:spacing w:lineRule="auto" w:line="240" w:before="0" w:after="0"/>
        <w:ind w:left="4536" w:right="-1"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 муниципальной Программе</w:t>
      </w:r>
    </w:p>
    <w:p>
      <w:pPr>
        <w:pStyle w:val="Normal"/>
        <w:spacing w:lineRule="auto" w:line="240" w:before="0" w:after="0"/>
        <w:ind w:left="4536" w:right="-1"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«Охрана окружающей среды в Златоустовском городском округе»</w:t>
      </w:r>
    </w:p>
    <w:p>
      <w:pPr>
        <w:pStyle w:val="Normal"/>
        <w:tabs>
          <w:tab w:val="clear" w:pos="708"/>
          <w:tab w:val="left" w:pos="4962" w:leader="none"/>
        </w:tabs>
        <w:spacing w:lineRule="auto" w:line="240" w:before="0" w:after="0"/>
        <w:ind w:right="-424" w:firstLine="4395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                      </w:t>
      </w:r>
    </w:p>
    <w:p>
      <w:pPr>
        <w:pStyle w:val="Normal"/>
        <w:spacing w:lineRule="auto" w:line="240" w:before="0" w:after="0"/>
        <w:ind w:left="4962" w:firstLine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962" w:leader="none"/>
        </w:tabs>
        <w:spacing w:lineRule="auto" w:line="240" w:before="0" w:after="0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  <w:r>
        <w:rPr>
          <w:rFonts w:cs="Times New Roman" w:ascii="Times New Roman" w:hAnsi="Times New Roman"/>
          <w:caps/>
          <w:color w:val="000000"/>
          <w:sz w:val="28"/>
          <w:szCs w:val="28"/>
        </w:rPr>
        <w:t>Подпрограмма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«Реализация природоохранных мероприятий за счет экологических платежей»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Раздел I. Паспорт подпрограммы «Реализация природоохранных мероприятий за счет экологических платежей»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9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0"/>
        <w:gridCol w:w="2518"/>
        <w:gridCol w:w="6757"/>
      </w:tblGrid>
      <w:tr>
        <w:trPr>
          <w:trHeight w:val="1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Администрация Златоустовского городского округа</w:t>
            </w:r>
          </w:p>
        </w:tc>
      </w:tr>
      <w:tr>
        <w:trPr>
          <w:trHeight w:val="2084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Соисполнители  подпрограммы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1) Муниципальное казенное учреждение  Златоустовского городского округа «Управление жилищно-коммунального хозяйства»;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2) Муниципальное казенное учреждение Златоустовского городского округа «Управление образования и молодежной политики».</w:t>
            </w:r>
          </w:p>
        </w:tc>
      </w:tr>
      <w:tr>
        <w:trPr>
          <w:trHeight w:val="1732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Структурные элементы  подпрограммы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1) Региональный проект «Чистая страна» национального проекта «Экология».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2) Региональный проект «Комплексная система обращения с твердыми коммунальными отходами» национального проекта «Экология».</w:t>
            </w:r>
          </w:p>
        </w:tc>
      </w:tr>
      <w:tr>
        <w:trPr>
          <w:trHeight w:val="4312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1) Создание благоприятной среды для проживания жителей округа;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2) Обеспечение защищенности населения и объектов экономики от негативного воздействия вод;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3) Сохранение водных объектов в состоянии, обеспечивающего экологически благоприятные условия жизни населения;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4) Ликвидация объектов накопленного экологического вреда;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>5) Организация обращения с твердыми коммунальными отходами с соблюдением норм и правил захоронения таких отходов.</w:t>
            </w:r>
          </w:p>
        </w:tc>
      </w:tr>
      <w:tr>
        <w:trPr>
          <w:trHeight w:val="339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1) Улучшение технического, санитарного и экологического состояния окружающей среды ЗГО;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2) Осуществление мер по предотвращению негативного воздействия вод;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3) Сокращение негативного антропогенного воздействия на водные объекты и его последствий;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4) Организация работ по ликвидации (снижению) накопленного вреда окружающей среде;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5) Развитие системы эффективного обращения с отходами производства и потребления.</w:t>
            </w:r>
          </w:p>
        </w:tc>
      </w:tr>
      <w:tr>
        <w:trPr>
          <w:trHeight w:val="1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Целевые показатели (индикаторы)  подпрограммы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33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1) Количество спиленных высокорастущих деревьев, а также деревьев, в отношении которых провели санитарную обрезку (ед.).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2)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Количество кладбищ и мест захоронения, на которых обеспечен вывоз ТКО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(ед.).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3) Площадь выкошенных газонов на территории ЗГО (тыс. м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.).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4) Объем вывезенного и размещенного на полигоне мусора и ТКО после проведения весенних субботников, (тонн);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5) Количество оснащенных мест (площадок) накопления твердых коммунальных отходов (далее – ТКО), (шт.).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07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6) Уровень обустройства контейнерных площадок, %.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7) Объем вывезенного мусора с несанкционированных свалок на территории округа, (тонн);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8) Количество ГТС, в отношении которых проведен капитальный ремонт, (ед.).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9)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Ко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личество очистных сооружений на которых проведена реконструкция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(ед.);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10) Количество земельных участков, нарушенных размещением ТКО либо объектами накопленного экологического вреда, в отношении которых проведена рекультивация или ликвидация объектов накопленного экологического вреда (ед.).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11) Численность населения, качество жизни которого улучшится в результате рекультивации земельных участков, нарушенных размещением ТКО и ликвидации объектов накопленного экологического вреда (тыс. чел.).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12) Общая площадь восстановленных, в том числе рекультивированных, земель, подверженных негативному воздействию накопленного экологического вреда (га).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13) Количество приобретенных контейнеров для раздельного накопления ТКО, (шт.).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5" w:leader="none"/>
                <w:tab w:val="left" w:pos="321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14) Уровень обеспеченности муниципальных образований контейнерным сбором ТКО, %.</w:t>
            </w:r>
          </w:p>
        </w:tc>
      </w:tr>
      <w:tr>
        <w:trPr>
          <w:trHeight w:val="1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Показатели муниципального проекта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1) Количество земельных участков, нарушенных размещением ТКО либо объектами накопленного экологического вреда, в отношении которых проведена рекультивация или ликвидация объектов накопленного экологического вреда  (ед.).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2) Численность населения, качество жизни которого улучшится в результате рекультивации земельных участков, нарушенных размещением ТКО и ликвидации объектов накопленного экологического вреда (тыс. чел.).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3) Общая площадь восстановленных, в том числе рекультивированных, земель, подверженных негативному воздействию накопленного экологического вреда (га).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 xml:space="preserve">4)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Уровень обустройства контейнерных площадок, %</w:t>
            </w:r>
          </w:p>
        </w:tc>
      </w:tr>
      <w:tr>
        <w:trPr>
          <w:trHeight w:val="1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2023-2025 годы, без деления на этапы.</w:t>
            </w:r>
          </w:p>
        </w:tc>
      </w:tr>
      <w:tr>
        <w:trPr>
          <w:trHeight w:val="1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Всего по муниципальной подпрограмме —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450 740,39 тыс. рублей,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 том числе по годам: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2023— 155 105,59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2024— 254 465,8 тыс. рублей;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2025— 41 169,0 тыс. рублей.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средства бюджета Златоустовского городского округа — 124 286,79 тыс. рублей,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 том числе по годам: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2023— 33 890,59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2024— 49 227,2 тыс. рублей;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2025— 41 169,0 тыс. рублей.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средства областного бюджета  — 326 453,60 тыс. рублей,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 том числе по годам: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2023— 121 215,0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2024— 205 238,6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2025 - 0,0 тыс. рублей.</w:t>
            </w:r>
          </w:p>
        </w:tc>
      </w:tr>
      <w:tr>
        <w:trPr>
          <w:trHeight w:val="1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1) Улучшение благоприятной среды для проживания жителей округа;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2) Уменьшение негативного антропогенного воздействия на водные объекты;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Раздел II. Характеристика сферы реализации подпрограммы,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описание основных проблем в сфере охраны окружающей среды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1. Целесообразность разработки Подпрограммы «Реализация природоохранных мероприятий за счет экологических платежей» (далее – Подпрограмма) обусловлена наличием на территории Златоустовского городского округа ряда проблем. Недостаточно комфортные условия для проживания, работы и отдыха населения, выполнения текущих работ по санитарной очистке территорий привели к необходимости решения поставленных задач. Загрязнение окружающей природной среды обусловлено как прошлой, так и текущей хозяйственной деятельностью, сопровождаемой образованием значительного количества загрязняющих веществ, отрицательно влияющих как на здоровье человека, так и на окружающую среду.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2. Для питьевого водоснабжения Златоустовского городского округа используются поверхностные и подземные источники. В качестве поверхностных источников, для которых характерна повышенная цветность, окисляемость, значительное содержание органических веществ, используются воды рек Малая Тесьма, Большая Тесьма и Ай. На этих реках сооружены плотины, образующие водохранилища.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Насосно-фильтровальная станция (далее – НФС) на реке Б.Тесьма снабжает питьевой водой районы: вокзал, центр города, Северо-Запад, металлургический завод. Построена в 1929 году. После реконструкции в 1983 году НФС на реке Б.Тесьма имеет производительность 62 тыс. куб.м./сут. Вода на Тесьминскую НФС поступает из двух водохранилищ: на реке Б. Тесьма объемом 7 млн. 600 тыс. куб.м./сут., на реке М.Тесьма объемом 1 млн. 145 тыс. куб.м.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На территории г. Златоуста расположено водохранилище – Айское. Из Айского водохранилища снабжается: частично Юго-Восточный район и частично Центральный район (проспект Гагарина – 3-й микрорайон). В мае 2019 года произошел провал грунта размером 12 метров вдоль левобережной подпорной стенки и 2-3 метра от стены на глубину от 1 до 2,5 метров. По всей длине стенки четыре сквозные трещины. Левобережная подпорная стенка наклонена вовнутрь водобоя со смещением до 40 см. Служебный металлический мостик между правой и левой подпорными стенками деформирован с выгибом вверх из-за наклона стены. Проведенное обследование показало: – в зоне гашения энергии водного потока в водобойной части водосбросного сооружения произошло разрушение бетона в нижней части водобойной левобережной стенки с образованием двух сквозных трещин, связанное вероятно с ненадлежащим качеством бетона, – в результате прохождения водного потока через отверстия в левобережной подпорной стенке произошел размыв и вынос грунта обратной засыпки стенки, приведший к провалу грунта, – вынос грунта и разрушение бетона привели к потере устойчивости стенки и её деформации, общая устойчивость стенки сохраняется за счет распорки мостиком и частично за счет сохранившейся арматуры в местах разрушения бетона. Основной вывод – ГТС Айское водохранилище находится в аварийном состоянии, требуется незамедлительное выполнение мероприятий. В 2019 году Администрацией Златоустовского городского округа совместно с МУП «Водоснабжение ЗГО» реализованы мероприятия по предотвращению аварийной ситуации на Айском водохранилище на средства областного бюджета: – укрепление левобережной стенки; – устройство водоотводного канала с целью предотвращения разрушения стенки (существующей конструкцией ГТС водоотводной канал не предусмотрен); – сохранение существующей мощности водохранилища 3,805 млн.м3. Для повышения надежности системы водоснабжения района машзавода г. Златоуста требуется проведение капитального ремонта ГТС Айского водохранилища, а именно: - ремонт крепления откосов и досыпку и укрепления гребня, по гребню плотины обеспечить служебный проезд техники; - ремонт (либо замена на основании инженерных обследований строительных конструкций) железобетонных конструкций береговых устоев и днища, затворов (основного и, ремонтного), пазов, грузоподъёмного оборудования, служебного мостика, отводящего канала и других элементов сооружения (при необходимости); - электрифицированный подъём затворов и освещение площадки водосброса; - ремонт или замена водоводов от водоприёмной камеры протяжённостью около 1,3 км (уточнить проектом) в две нитки из полиэтиленовых труб.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 области обращения отходов проблемным вопросом является совершенствование системы обращения с твердыми бытовыми отходами. Несовершенство сбора, транспортировки, обезвреживания, хранения и захоронения отходов ведет к образованию несанкционированных свалок, поэтому санитарная очистка территории Златоустовского городского округа от твердых коммунальных и промышленных отходов является важнейшим элементом жизнеобеспечения.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Основная причина наличия несанкционированных свалок на территории округа – захламление путем несанкционированной выгрузки бытовых и строительных отходов организациями и жителями округа. Несмотря на то, что постоянно проводятся работы по ликвидации свалок остается сложной проблема сбора бытовых отходов в зоне частного сектора, периодически возникающих стихийных свалок вдоль дорог, оврагов. Бытовые отходы являются источником бактериального загрязнения почв, поверхностных и грунтовых вод, идеальной средой для развития возбудителей кишечных  инфекций, размножения крыс и мышей, являются главным источником переноса различных инфекций. В связи с этим возникает необходимость в организации мероприятий по своевременной и качественной уборке несанкционированных свалок, разработке мероприятий по сбору и вывозу твердых бытовых отходов.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pacing w:val="3"/>
          <w:sz w:val="28"/>
          <w:szCs w:val="28"/>
        </w:rPr>
        <w:t>Мероприятия по содержанию мест захоронения на территории округа позволят осуществлять обеспечение потребностей в местах для захоронения с соблюдением экологических норм. Мероприятия включают в себя ликвидацию несанкционированных свалок с территорий мест захоронения.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силу принципа общего совокупного покрытия расходов и доходов бюджета, закрепленного в Бюджетном кодексе РФ, расходы бюджета не могут быть увязаны с определенными доходами бюджета и источниками финансирования дефицита бюджета. Вступление в силу с 1 сентября 2022 года федерального закона Российской Федерации от 30.12.2021 №446-ФЗ «О внесении изменений в Федеральный закон «Об охране окружающей среды» позволяет «окрашивать» экологические платежи (плата за негативное воздействие на окружающую среду, штрафы за административные правонарушения и платежи по искам о возмещении вреда окружающей среде)  т.е. такие денежные средства будут носить целевой характер и не могут быть использованы на цели, не предусмотренные соответствующими статьями Закона об охране окружающей среды.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Раздел III. Приоритеты и цели муниципальной политики в сфере охраны окружающей среды Златоустовского городского округа, описание основных целей и задач подпрограммы, сроков и контрольных этапов реализации подпрограммы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 Формирование благоприятной среды обитания зависит от экологической составляющей производственного и коммунального секторов, обеспечивающих превращение Златоустовского городского округа в экологически чистую и безопасную зону жизнедеятельности, с целью формирования благоприятной среды обитания населения.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Социально-экономическое развитие Златоустовского городского округа в сфере охраны окружающей среды направлено на выполнение экологических мероприятий, реализация которых позволит улучшить экологическую обстановку в округе, создать более благоприятную среду для жизнедеятельности населения и обитания растительного и животного мира.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4. Приоритетными направлениями муниципальной политики для обеспечения экологической безопасности и комфортной среды проживания населения округа является организация и реализация мероприятий по охране окружающей среды в границах Златоустовского городского округа;</w:t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5. Цель Подпрограммы: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1) Создание благоприятной среды для проживания жителей округа;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2) Обеспечение защищенности населения и объектов экономики от  негативного воздействия вод;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3) Сохранение водных объектов в состоянии, обеспечивающего экологически благоприятные условия жизни населения;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4) Ликвидация объектов накопленного экологического вреда;</w:t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5) Организация обращения с твердыми коммунальными отходами с соблюдением норм и правил захоронения таких отходов.</w:t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6. Достижение поставленной цели требует решения следующих задач:</w:t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1) Улучшение технического, санитарного и экологического состояния окружающей среды ЗГО;</w:t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2) Осуществление мер по предотвращению негативного воздействия вод;</w:t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3) Сокращение негативного антропогенного воздействия на водные объекты и его последствий;</w:t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4) Организация работ по ликвидации (снижению) накопленного вреда окружающей среде;</w:t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5) Развитие системы эффективного обращения с отходами производства и потребления.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7. В результате реализации Подпрограммы планируется достигнуть следующих целевых индикаторов (Таблица 1):</w:t>
      </w:r>
    </w:p>
    <w:p>
      <w:pPr>
        <w:pStyle w:val="Normal"/>
        <w:spacing w:lineRule="auto" w:line="240" w:before="0" w:after="0"/>
        <w:ind w:right="-57" w:hanging="0"/>
        <w:jc w:val="right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Таблица 1</w:t>
      </w:r>
    </w:p>
    <w:tbl>
      <w:tblPr>
        <w:tblW w:w="9733" w:type="dxa"/>
        <w:jc w:val="left"/>
        <w:tblInd w:w="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98"/>
        <w:gridCol w:w="4019"/>
        <w:gridCol w:w="1482"/>
        <w:gridCol w:w="800"/>
        <w:gridCol w:w="950"/>
        <w:gridCol w:w="969"/>
        <w:gridCol w:w="914"/>
      </w:tblGrid>
      <w:tr>
        <w:trPr>
          <w:trHeight w:val="400" w:hRule="atLeast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>п/п</w:t>
            </w:r>
          </w:p>
        </w:tc>
        <w:tc>
          <w:tcPr>
            <w:tcW w:w="4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>Индикативные показатели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>Срок реализации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>Ед. изм.</w:t>
            </w:r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>Контрольные сроки</w:t>
            </w:r>
          </w:p>
        </w:tc>
      </w:tr>
      <w:tr>
        <w:trPr>
          <w:trHeight w:val="617" w:hRule="atLeast"/>
        </w:trPr>
        <w:tc>
          <w:tcPr>
            <w:tcW w:w="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4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14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>год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 xml:space="preserve">2024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>год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 xml:space="preserve">2025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>год</w:t>
            </w:r>
          </w:p>
        </w:tc>
      </w:tr>
      <w:tr>
        <w:trPr>
          <w:trHeight w:val="800" w:hRule="atLeast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1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>Количество спиленных высокорастущих деревьев, а также деревьев, в отношении которых провели санитарную обрезк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2023-2025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>ед.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398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398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807</w:t>
            </w:r>
          </w:p>
        </w:tc>
      </w:tr>
      <w:tr>
        <w:trPr>
          <w:trHeight w:val="967" w:hRule="atLeast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2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34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Количество кладбищ и мест захоронения, на которых обеспечен вывоз ТКО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2023-2025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>ед.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>
        <w:trPr>
          <w:trHeight w:val="775" w:hRule="atLeast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3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Площадь выкошенных газонов на территории ЗГО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2023-2025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>тыс. кв.м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555,5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1944,4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1944,4</w:t>
            </w:r>
          </w:p>
        </w:tc>
      </w:tr>
      <w:tr>
        <w:trPr>
          <w:trHeight w:val="383" w:hRule="atLeast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4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>Объем вывезенного и размещенного на полигоне мусора и ТКО после проведения субботников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2023-20225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>т.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>9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>9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>9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0</w:t>
            </w:r>
          </w:p>
        </w:tc>
      </w:tr>
      <w:tr>
        <w:trPr>
          <w:trHeight w:val="1" w:hRule="atLeast"/>
        </w:trPr>
        <w:tc>
          <w:tcPr>
            <w:tcW w:w="59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5</w:t>
            </w:r>
          </w:p>
        </w:tc>
        <w:tc>
          <w:tcPr>
            <w:tcW w:w="40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52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Количество оснащенных мест (площадок) накопления ТКО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2023-2025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108" w:right="-109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108" w:right="-109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108" w:right="-109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20</w:t>
            </w:r>
          </w:p>
        </w:tc>
      </w:tr>
      <w:tr>
        <w:trPr>
          <w:trHeight w:val="1" w:hRule="atLeast"/>
        </w:trPr>
        <w:tc>
          <w:tcPr>
            <w:tcW w:w="59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6</w:t>
            </w:r>
          </w:p>
        </w:tc>
        <w:tc>
          <w:tcPr>
            <w:tcW w:w="40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52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Уровень обустройства контейнерных площадок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2023-2025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%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75,7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75,7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75,7</w:t>
            </w:r>
          </w:p>
        </w:tc>
      </w:tr>
      <w:tr>
        <w:trPr>
          <w:trHeight w:val="1" w:hRule="atLeast"/>
        </w:trPr>
        <w:tc>
          <w:tcPr>
            <w:tcW w:w="59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7</w:t>
            </w:r>
          </w:p>
        </w:tc>
        <w:tc>
          <w:tcPr>
            <w:tcW w:w="40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52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Объем вывезенного и размещенного на полигоне мусора и ТКО с несанкционированных свалок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2023-2025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т.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312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312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312</w:t>
            </w:r>
          </w:p>
        </w:tc>
      </w:tr>
      <w:tr>
        <w:trPr>
          <w:trHeight w:val="900" w:hRule="atLeast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8</w:t>
            </w:r>
          </w:p>
        </w:tc>
        <w:tc>
          <w:tcPr>
            <w:tcW w:w="4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>Количество приведенных в безопасное техническое состояние ГТС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2023-2024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>ед.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62" w:right="-104" w:hanging="5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0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62" w:right="-62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1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9</w:t>
            </w:r>
          </w:p>
        </w:tc>
        <w:tc>
          <w:tcPr>
            <w:tcW w:w="4019" w:type="dxa"/>
            <w:tcBorders>
              <w:left w:val="single" w:sz="2" w:space="0" w:color="000000"/>
              <w:bottom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Ко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личество очистных сооружений на которых проведена реконструкция</w:t>
            </w:r>
          </w:p>
        </w:tc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2023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>ед.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1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0</w:t>
            </w:r>
          </w:p>
        </w:tc>
      </w:tr>
      <w:tr>
        <w:trPr>
          <w:trHeight w:val="3000" w:hRule="atLeast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10</w:t>
            </w:r>
          </w:p>
        </w:tc>
        <w:tc>
          <w:tcPr>
            <w:tcW w:w="4019" w:type="dxa"/>
            <w:tcBorders>
              <w:left w:val="single" w:sz="2" w:space="0" w:color="000000"/>
              <w:bottom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Количество земельных участков, нарушенных размещением ТКО либо объектами накопленного экологического вреда, в отношении которых проведена рекультивация или ликвидация объектов накопленного экологического вреда</w:t>
            </w:r>
          </w:p>
        </w:tc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2023-2025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>ед.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0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1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0</w:t>
            </w:r>
          </w:p>
        </w:tc>
      </w:tr>
      <w:tr>
        <w:trPr>
          <w:trHeight w:val="2928" w:hRule="atLeast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11</w:t>
            </w:r>
          </w:p>
        </w:tc>
        <w:tc>
          <w:tcPr>
            <w:tcW w:w="4019" w:type="dxa"/>
            <w:tcBorders>
              <w:left w:val="single" w:sz="2" w:space="0" w:color="000000"/>
              <w:bottom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>Численность населения, качество жизни которого улучшится в результате рекультивации земельных участков, нарушенных размещением ТКО, и ликвидации объектов накопленного экологического вреда</w:t>
            </w:r>
          </w:p>
        </w:tc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2023-2025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>тыс. чел.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0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158,9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0</w:t>
            </w:r>
          </w:p>
        </w:tc>
      </w:tr>
      <w:tr>
        <w:trPr>
          <w:trHeight w:val="1" w:hRule="atLeast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12</w:t>
            </w:r>
          </w:p>
        </w:tc>
        <w:tc>
          <w:tcPr>
            <w:tcW w:w="4019" w:type="dxa"/>
            <w:tcBorders>
              <w:left w:val="single" w:sz="2" w:space="0" w:color="000000"/>
              <w:bottom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>Общая площадь восстановленных, в том числе рекультивированных, земель, подверженных негативному воздействию накопленного экологического вреда</w:t>
            </w:r>
          </w:p>
        </w:tc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2023-2024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>га.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0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15,5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0</w:t>
            </w:r>
          </w:p>
        </w:tc>
      </w:tr>
      <w:tr>
        <w:trPr>
          <w:trHeight w:val="1" w:hRule="atLeast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13</w:t>
            </w:r>
          </w:p>
        </w:tc>
        <w:tc>
          <w:tcPr>
            <w:tcW w:w="4019" w:type="dxa"/>
            <w:tcBorders>
              <w:left w:val="single" w:sz="2" w:space="0" w:color="000000"/>
              <w:bottom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52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Количество приобретенных контейнеров для раздельного накопления ТКО</w:t>
            </w:r>
          </w:p>
        </w:tc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2023-2025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150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150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150</w:t>
            </w:r>
          </w:p>
        </w:tc>
      </w:tr>
      <w:tr>
        <w:trPr>
          <w:trHeight w:val="595" w:hRule="atLeast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14</w:t>
            </w:r>
          </w:p>
        </w:tc>
        <w:tc>
          <w:tcPr>
            <w:tcW w:w="4019" w:type="dxa"/>
            <w:tcBorders>
              <w:left w:val="single" w:sz="2" w:space="0" w:color="000000"/>
              <w:bottom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52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Уровень обеспеченности муниципальных образований контейнерным сбором ТКО</w:t>
            </w:r>
          </w:p>
        </w:tc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2023-2025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%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48,25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48,25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48,25</w:t>
            </w:r>
          </w:p>
        </w:tc>
      </w:tr>
    </w:tbl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1"/>
          <w:szCs w:val="21"/>
          <w:lang w:val="en-US"/>
        </w:rPr>
      </w:pPr>
      <w:r>
        <w:rPr>
          <w:rFonts w:cs="Times New Roman" w:ascii="Times New Roman" w:hAnsi="Times New Roman"/>
          <w:sz w:val="21"/>
          <w:szCs w:val="21"/>
          <w:lang w:val="en-US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8. Реализация подпрограммы приведет к достижению следующих ожидаемых результатов:</w:t>
      </w:r>
    </w:p>
    <w:p>
      <w:pPr>
        <w:pStyle w:val="Normal"/>
        <w:widowControl w:val="fals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1) Улучшение благоприятной среды для проживания жителей округа;</w:t>
      </w:r>
    </w:p>
    <w:p>
      <w:pPr>
        <w:pStyle w:val="Normal"/>
        <w:widowControl w:val="false"/>
        <w:tabs>
          <w:tab w:val="clear" w:pos="708"/>
          <w:tab w:val="left" w:pos="735" w:leader="none"/>
        </w:tabs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2) Уменьшение негативного антропогенного воздействия на водные объекты.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9. Срок реализации Подпрограммы: 2023-2025 годы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Раздел IV. Характеристика основных мероприятий Подпрограммы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10. Перечень основных мероприятий Подпрограммы представлен                           в приложении 1 к Подпрограмме.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Раздел V. Информация об участии предприятий и организаций,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независимо от их организационно-правовой формы собственности,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а также внебюджетных фондов, в реализации Подпрограммы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11. Предприятия и организации, независимо от их организационно-правовой формы собственности, а также внебюджетные фонды, в реализации Подпрограммы не участвуют.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Раздел VI. Обоснование объема финансовых ресурсов,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необходимых для реализации Подпрограммы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12. Общий объем финансирования Подпрограммы 450 740,39 тыс. рублей,</w:t>
      </w:r>
    </w:p>
    <w:p>
      <w:pPr>
        <w:pStyle w:val="Normal"/>
        <w:spacing w:lineRule="auto" w:line="240" w:before="0" w:after="0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том числе по годам:</w:t>
      </w:r>
    </w:p>
    <w:p>
      <w:pPr>
        <w:pStyle w:val="Normal"/>
        <w:spacing w:lineRule="auto" w:line="240" w:before="0" w:after="0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2023 — 155 105,59 тыс. рублей;</w:t>
      </w:r>
    </w:p>
    <w:p>
      <w:pPr>
        <w:pStyle w:val="Normal"/>
        <w:spacing w:lineRule="auto" w:line="240" w:before="0" w:after="0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2024 — 254 465,8 тыс. рублей;</w:t>
      </w:r>
    </w:p>
    <w:p>
      <w:pPr>
        <w:pStyle w:val="Normal"/>
        <w:spacing w:lineRule="auto" w:line="240" w:before="0" w:after="0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2025 — 41 169,0 тыс. рублей.</w:t>
      </w:r>
    </w:p>
    <w:p>
      <w:pPr>
        <w:pStyle w:val="Normal"/>
        <w:spacing w:lineRule="auto" w:line="240" w:before="0" w:after="0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средства бюджета Златоустовского городского округа — 124 286,79 тыс. рублей,</w:t>
      </w:r>
    </w:p>
    <w:p>
      <w:pPr>
        <w:pStyle w:val="Normal"/>
        <w:spacing w:lineRule="auto" w:line="240" w:before="0" w:after="0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том числе по годам:</w:t>
      </w:r>
    </w:p>
    <w:p>
      <w:pPr>
        <w:pStyle w:val="Normal"/>
        <w:spacing w:lineRule="auto" w:line="240" w:before="0" w:after="0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2023 — 33 890,59 тыс. рублей;</w:t>
      </w:r>
    </w:p>
    <w:p>
      <w:pPr>
        <w:pStyle w:val="Normal"/>
        <w:spacing w:lineRule="auto" w:line="240" w:before="0" w:after="0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2024 — 49 227,2 тыс. рублей;</w:t>
      </w:r>
    </w:p>
    <w:p>
      <w:pPr>
        <w:pStyle w:val="Normal"/>
        <w:spacing w:lineRule="auto" w:line="240" w:before="0" w:after="0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2025 — 41 169,0 тыс. рублей.</w:t>
      </w:r>
    </w:p>
    <w:p>
      <w:pPr>
        <w:pStyle w:val="Normal"/>
        <w:spacing w:lineRule="auto" w:line="240" w:before="0" w:after="0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средства областного бюджета  — 326 453,60 тыс. рублей,</w:t>
      </w:r>
    </w:p>
    <w:p>
      <w:pPr>
        <w:pStyle w:val="Normal"/>
        <w:spacing w:lineRule="auto" w:line="240" w:before="0" w:after="0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том числе по годам:</w:t>
      </w:r>
    </w:p>
    <w:p>
      <w:pPr>
        <w:pStyle w:val="Normal"/>
        <w:spacing w:lineRule="auto" w:line="240" w:before="0" w:after="0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2023 — 121 215,0 тыс. рублей;</w:t>
      </w:r>
    </w:p>
    <w:p>
      <w:pPr>
        <w:pStyle w:val="Normal"/>
        <w:spacing w:lineRule="auto" w:line="240" w:before="0" w:after="0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2024 — 205 238,6 тыс. рублей;</w:t>
      </w:r>
    </w:p>
    <w:p>
      <w:pPr>
        <w:pStyle w:val="Normal"/>
        <w:spacing w:lineRule="auto" w:line="240" w:before="0" w:after="0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2025  - 0,0 тыс. рублей.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13. Обоснование объемов финансовых ресурсов, необходимых для реализации Подпрограммы изложено в Приложении 1 к подпрограмме.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Раздел VII. Анализ рисков реализации подпрограммы и описание мер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управления рисками реализации подпрограммы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14. Реализация Подпрограммы направлена на обеспечение соответствия условий проживания населения округа стандартам качества, что является планомерным продолжением и развитием целей и задач, поставленных                в Стратегии и Комплексной программе социально-экономического развития Златоустовского городского округа до 2030 года, утвержденной Решением Собрания депутатов Златоустовского городского округа от 05.07.2013 года № 28-ЗГО.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Анализ рисков реализации Подпрограммы проведен с применением сценарных условий двух вариантов.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Первый вариант – определяется основная цель Подпрограммы качественного и количественного характера, и для их достижения осуществляются отбор и обоснование комплекса мероприятий Подпрограммы и соответствующих объемов финансовых средств.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Второй вариант – определяется также основная цель Подпрограммы качественного и количественного характера, и для ее достижения осуществляются отбор и обоснование мероприятий Подпрограммы, но при решении поставленной задачи существуют ограничения в виде реальных объемов финансовых средств, которые могут быть привлечены в реализацию Подпрограммы. Исходя из этого, выбирается комплекс мероприятий, обеспечивающих наибольшие результаты в достижении поставленной цели.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Первый вариант имеет преимущество с точки зрения постановки обоснованной цели Подпрограммы с учетом множества факторов социально-экономического и стратегического характера, а также интересов граждан, общества и государства. При этом имеют место значительные риски, как завышения, так и занижения объемов финансовых средств для реализации мероприятий Муниципальной программы.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При втором варианте имеется определенность объемов ограниченных ресурсов для данного временного интервала, что часто является определяющим фактором при выборе сценария реализации Подпрограммы. В этом варианте решения проблемы имеются риски, связанные с достижением основных показателей Подпрограммы.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Оба варианта реализации Подпрограммы имеют риски, обусловленные отсутствием всех необходимых данных, обеспечивающих оценку результативности основных мероприятий Подпрограммы, их количественных характеристик и объемов финансовых средств.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Второй вариант реализации сценарных условий, когда имеются ограничения в виде реальных объемов финансовых средств, которые могут быть привлечены в Подпрограмму, и в выборе соответствующих показателей рисков чрезвычайных ситуаций, является более приемлемым в современных экономических условиях страны.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При реализации Подпрограммы и для достижения поставленных целей необходимо учитывать возможные финансовые, социальные, операционные и прочие риски. Важнейшими условиями успешной реализации Подпрограммы является минимизация указанных рисков, эффективный мониторинг выполнения, принятие оперативных мер по корректировке приоритетных направлений и показателей подпрограммы.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По характеру влияния на ход и конечные результаты реализации Подпрограммы существенными являются следующие риски: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Макроэкономические риски связаны с возможностью 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Финансовые риски, связанные с возникновением бюджетного дефицита и недостаточным вследствие этого уровнем бюджетного финансирования, могут существенно снизить число лиц, осуществляющих контрольно-надзорную деятельность.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15. Меры управления рисками реализации Подпрограммы основываются на следующем анализе: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Наибольшее отрицательное влияние из вышеперечисленных рисков на реализацию Муниципальной программы могут оказать реализация финансовых рисков. В рамках Подпрограммы отсутствует возможность управления вышеуказанными рисками. Возможен лишь оперативный учет последствий их проявления.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рамках данной Подпрограммы минимизация указанных рисков возможна на основе: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регулярного мониторинга и оценки эффективности реализации мероприятий;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своевременной корректировки перечня основных мероприятий и показателей.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Минимизация социальных рисков возможна на основе совершенствования нормативно-правового регулирования в области охраны окружающей среды.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Минимизация операционных рисков достигается в ходе регулярного мониторинга и оценки эффективности реализации мероприятий Подпрограммы.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504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LibreOffice/7.2.5.2$Windows_X86_64 LibreOffice_project/499f9727c189e6ef3471021d6132d4c694f357e5</Application>
  <AppVersion>15.0000</AppVersion>
  <Pages>12</Pages>
  <Words>2554</Words>
  <Characters>18520</Characters>
  <CharactersWithSpaces>20935</CharactersWithSpaces>
  <Paragraphs>264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2022-11-14T04:35:00Z</dcterms:created>
  <dc:creator>zgokks</dc:creator>
  <dc:description/>
  <dc:language>ru-RU</dc:language>
  <cp:lastModifiedBy/>
  <dcterms:modified xsi:type="dcterms:W3CDTF">2022-11-21T13:21:00Z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